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2518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2518C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2518C7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C579CE" w:rsidP="002518C7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____________________________</w:t>
            </w:r>
          </w:p>
          <w:p w:rsidR="00C579CE" w:rsidRPr="004C07C5" w:rsidRDefault="00C579CE" w:rsidP="002518C7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 (правовой акт контрольного органа)</w:t>
            </w:r>
          </w:p>
          <w:p w:rsidR="00C579CE" w:rsidRPr="004C07C5" w:rsidRDefault="00C579CE" w:rsidP="002518C7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«___» _______г. № ___</w:t>
            </w:r>
          </w:p>
          <w:p w:rsidR="00C579CE" w:rsidRPr="004C07C5" w:rsidRDefault="00C579CE" w:rsidP="002518C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C1E25" w:rsidRPr="003B46AA" w:rsidRDefault="00C579CE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6AA">
        <w:rPr>
          <w:b/>
          <w:sz w:val="28"/>
          <w:szCs w:val="28"/>
        </w:rPr>
        <w:t xml:space="preserve">Программа профилактики </w:t>
      </w:r>
      <w:r w:rsidR="00296FFF" w:rsidRPr="003B46AA">
        <w:rPr>
          <w:rFonts w:eastAsiaTheme="minorHAnsi"/>
          <w:b/>
          <w:sz w:val="28"/>
          <w:szCs w:val="28"/>
          <w:lang w:eastAsia="en-US"/>
        </w:rPr>
        <w:t xml:space="preserve">нарушений </w:t>
      </w:r>
      <w:r w:rsidR="00296FFF" w:rsidRPr="003B46AA">
        <w:rPr>
          <w:b/>
          <w:sz w:val="28"/>
          <w:szCs w:val="28"/>
        </w:rPr>
        <w:t xml:space="preserve">на 2022 год </w:t>
      </w:r>
    </w:p>
    <w:p w:rsidR="00C579CE" w:rsidRPr="005A2862" w:rsidRDefault="00A27B9A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B46AA">
        <w:rPr>
          <w:b/>
          <w:sz w:val="28"/>
          <w:szCs w:val="28"/>
        </w:rPr>
        <w:t>Управлени</w:t>
      </w:r>
      <w:r w:rsidR="003B46AA">
        <w:rPr>
          <w:b/>
          <w:sz w:val="28"/>
          <w:szCs w:val="28"/>
        </w:rPr>
        <w:t>я</w:t>
      </w:r>
      <w:r w:rsidRPr="003B46AA">
        <w:rPr>
          <w:b/>
          <w:sz w:val="28"/>
          <w:szCs w:val="28"/>
        </w:rPr>
        <w:t xml:space="preserve"> по имуществу и земельным отношениям Агаповского муниципального района  по муниципальному </w:t>
      </w:r>
      <w:r w:rsidR="009C1E25" w:rsidRPr="003B46AA">
        <w:rPr>
          <w:b/>
          <w:sz w:val="28"/>
          <w:szCs w:val="28"/>
        </w:rPr>
        <w:t>земельному контролю на территории Агаповского муниципального района</w:t>
      </w:r>
      <w:r w:rsidR="00C579CE" w:rsidRPr="005A2862">
        <w:rPr>
          <w:sz w:val="28"/>
          <w:szCs w:val="28"/>
        </w:rPr>
        <w:t xml:space="preserve"> 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1E25">
        <w:rPr>
          <w:sz w:val="28"/>
          <w:szCs w:val="28"/>
        </w:rPr>
        <w:t>муниципального земельного контроля</w:t>
      </w:r>
      <w:r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D55B1E" w:rsidRDefault="0076314E" w:rsidP="009C1E25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C1E25" w:rsidRPr="00D55B1E">
              <w:rPr>
                <w:sz w:val="26"/>
                <w:szCs w:val="26"/>
              </w:rPr>
              <w:t>муниципального земельного контроля</w:t>
            </w:r>
            <w:r w:rsidRPr="00D55B1E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D55B1E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D55B1E">
              <w:rPr>
                <w:sz w:val="26"/>
                <w:szCs w:val="26"/>
              </w:rPr>
              <w:t>ее – Федеральный закон №248-ФЗ);</w:t>
            </w:r>
          </w:p>
          <w:p w:rsidR="00C579CE" w:rsidRPr="00D55B1E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D55B1E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D55B1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D55B1E" w:rsidRDefault="009C1E25" w:rsidP="009C1E25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55B1E">
              <w:rPr>
                <w:iCs/>
                <w:sz w:val="26"/>
                <w:szCs w:val="26"/>
              </w:rPr>
              <w:t>Управление по имуществу и земельным отношениям Агаповского муниципального района</w:t>
            </w:r>
            <w:r w:rsidR="00C579CE" w:rsidRPr="00D55B1E">
              <w:rPr>
                <w:iCs/>
                <w:sz w:val="26"/>
                <w:szCs w:val="26"/>
              </w:rPr>
              <w:t xml:space="preserve"> </w:t>
            </w:r>
            <w:r w:rsidR="003B46AA" w:rsidRPr="00D55B1E">
              <w:rPr>
                <w:iCs/>
                <w:sz w:val="26"/>
                <w:szCs w:val="26"/>
              </w:rPr>
              <w:t xml:space="preserve"> ( УИЗО)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D55B1E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55B1E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D55B1E" w:rsidRDefault="008739E1" w:rsidP="009C1E25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Б</w:t>
            </w:r>
            <w:r w:rsidR="00C579CE" w:rsidRPr="00D55B1E">
              <w:rPr>
                <w:sz w:val="26"/>
                <w:szCs w:val="26"/>
              </w:rPr>
              <w:t>юджет</w:t>
            </w:r>
            <w:r w:rsidRPr="00D55B1E">
              <w:rPr>
                <w:sz w:val="26"/>
                <w:szCs w:val="26"/>
              </w:rPr>
              <w:t xml:space="preserve"> муниципального образования</w:t>
            </w:r>
            <w:r w:rsidR="00C579CE" w:rsidRPr="00D55B1E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D55B1E" w:rsidRDefault="00C579CE" w:rsidP="005A2862">
            <w:pPr>
              <w:pStyle w:val="Default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D55B1E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D55B1E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D55B1E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55B1E" w:rsidRDefault="00D55B1E" w:rsidP="003B46AA">
      <w:pPr>
        <w:pStyle w:val="a3"/>
        <w:ind w:firstLine="567"/>
        <w:jc w:val="center"/>
        <w:rPr>
          <w:b/>
          <w:sz w:val="28"/>
          <w:szCs w:val="28"/>
        </w:rPr>
      </w:pPr>
    </w:p>
    <w:p w:rsidR="00D55B1E" w:rsidRDefault="00D55B1E" w:rsidP="003B46AA">
      <w:pPr>
        <w:pStyle w:val="a3"/>
        <w:ind w:firstLine="567"/>
        <w:jc w:val="center"/>
        <w:rPr>
          <w:b/>
          <w:sz w:val="28"/>
          <w:szCs w:val="28"/>
        </w:rPr>
      </w:pPr>
    </w:p>
    <w:p w:rsidR="00D55B1E" w:rsidRDefault="00D55B1E" w:rsidP="003B46AA">
      <w:pPr>
        <w:pStyle w:val="a3"/>
        <w:ind w:firstLine="567"/>
        <w:jc w:val="center"/>
        <w:rPr>
          <w:b/>
          <w:sz w:val="28"/>
          <w:szCs w:val="28"/>
        </w:rPr>
      </w:pPr>
    </w:p>
    <w:p w:rsidR="00D55B1E" w:rsidRDefault="00D55B1E" w:rsidP="003B46AA">
      <w:pPr>
        <w:pStyle w:val="a3"/>
        <w:ind w:firstLine="567"/>
        <w:jc w:val="center"/>
        <w:rPr>
          <w:b/>
          <w:sz w:val="28"/>
          <w:szCs w:val="28"/>
        </w:rPr>
      </w:pPr>
    </w:p>
    <w:p w:rsidR="00D55B1E" w:rsidRDefault="00D55B1E" w:rsidP="003B46AA">
      <w:pPr>
        <w:pStyle w:val="a3"/>
        <w:ind w:firstLine="567"/>
        <w:jc w:val="center"/>
        <w:rPr>
          <w:b/>
          <w:sz w:val="28"/>
          <w:szCs w:val="28"/>
        </w:rPr>
      </w:pPr>
    </w:p>
    <w:p w:rsidR="00C579CE" w:rsidRDefault="00C579CE" w:rsidP="003B46AA">
      <w:pPr>
        <w:pStyle w:val="a3"/>
        <w:ind w:firstLine="567"/>
        <w:jc w:val="center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lastRenderedPageBreak/>
        <w:t>Раздел 1. Анализ и оценка состояния подконтрольной сферы.</w:t>
      </w:r>
    </w:p>
    <w:p w:rsidR="003B46AA" w:rsidRPr="005A2862" w:rsidRDefault="003B46AA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Агаповского муниципального района Челябинской области, Положением об Управлении по имуществу и земельным отношениям Агаповского муниципального района – Управление по имуществу и земельным отношениям Агаповского муниципального района (далее – орган муниципального земельного контроля) является уполномоченным органом по осуществлению муниципального земельного контроля.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При осуществлении муниципального земельного контроля орган муниципального земельного контроля осуществляет контроль за соблюдением: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433B1" w:rsidRP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3B46AA" w:rsidRDefault="006433B1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Агаповского муниципального района, а так же обладающие правом владения, пользования, распоряжения землями, земельными участками, частью земельного участка в границах Агаповского  муниципального района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3B46AA" w:rsidRDefault="00195A68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Муниципальный </w:t>
      </w:r>
      <w:r w:rsidR="00226C7D" w:rsidRPr="003B46AA">
        <w:rPr>
          <w:sz w:val="28"/>
          <w:szCs w:val="28"/>
        </w:rPr>
        <w:t>земельный</w:t>
      </w:r>
      <w:r w:rsidRPr="003B46AA">
        <w:rPr>
          <w:sz w:val="28"/>
          <w:szCs w:val="28"/>
        </w:rPr>
        <w:t xml:space="preserve"> контроль осуществляется </w:t>
      </w:r>
      <w:r w:rsidR="00226C7D" w:rsidRPr="003B46AA">
        <w:rPr>
          <w:sz w:val="28"/>
          <w:szCs w:val="28"/>
        </w:rPr>
        <w:t>Управлени</w:t>
      </w:r>
      <w:r w:rsidR="006433B1" w:rsidRPr="003B46AA">
        <w:rPr>
          <w:sz w:val="28"/>
          <w:szCs w:val="28"/>
        </w:rPr>
        <w:t>ем</w:t>
      </w:r>
      <w:r w:rsidR="00226C7D" w:rsidRPr="003B46AA">
        <w:rPr>
          <w:sz w:val="28"/>
          <w:szCs w:val="28"/>
        </w:rPr>
        <w:t xml:space="preserve"> по имуществу и земельным отношениям Агаповского муниципального района</w:t>
      </w:r>
      <w:r w:rsidRPr="003B46AA">
        <w:rPr>
          <w:sz w:val="28"/>
          <w:szCs w:val="28"/>
        </w:rPr>
        <w:t xml:space="preserve"> с 201</w:t>
      </w:r>
      <w:r w:rsidR="00226C7D" w:rsidRPr="003B46AA">
        <w:rPr>
          <w:sz w:val="28"/>
          <w:szCs w:val="28"/>
        </w:rPr>
        <w:t>7</w:t>
      </w:r>
      <w:r w:rsidR="003B46AA">
        <w:rPr>
          <w:sz w:val="28"/>
          <w:szCs w:val="28"/>
        </w:rPr>
        <w:t xml:space="preserve"> г.</w:t>
      </w:r>
    </w:p>
    <w:p w:rsidR="00F40CD8" w:rsidRPr="003B46AA" w:rsidRDefault="009A0C22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С 1 июля </w:t>
      </w:r>
      <w:r w:rsidR="00D55B1E">
        <w:rPr>
          <w:sz w:val="28"/>
          <w:szCs w:val="28"/>
        </w:rPr>
        <w:t xml:space="preserve">2021 г. </w:t>
      </w:r>
      <w:r w:rsidRPr="003B46AA">
        <w:rPr>
          <w:sz w:val="28"/>
          <w:szCs w:val="28"/>
        </w:rPr>
        <w:t>в</w:t>
      </w:r>
      <w:r w:rsidR="00195A68" w:rsidRPr="003B46AA">
        <w:rPr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3B46AA">
        <w:rPr>
          <w:sz w:val="28"/>
          <w:szCs w:val="28"/>
        </w:rPr>
        <w:t xml:space="preserve">ельность контрольных органов в </w:t>
      </w:r>
      <w:r w:rsidR="00247EF5" w:rsidRPr="003B46AA">
        <w:rPr>
          <w:sz w:val="28"/>
          <w:szCs w:val="28"/>
        </w:rPr>
        <w:t>сфере</w:t>
      </w:r>
      <w:r w:rsidR="00226C7D" w:rsidRPr="003B46AA">
        <w:rPr>
          <w:sz w:val="28"/>
          <w:szCs w:val="28"/>
        </w:rPr>
        <w:t xml:space="preserve"> муниципального земельного контроля</w:t>
      </w:r>
      <w:r w:rsidR="00247EF5" w:rsidRPr="003B46AA">
        <w:rPr>
          <w:sz w:val="28"/>
          <w:szCs w:val="28"/>
        </w:rPr>
        <w:t>,</w:t>
      </w:r>
      <w:r w:rsidR="003665FB" w:rsidRPr="003B46AA">
        <w:rPr>
          <w:sz w:val="28"/>
          <w:szCs w:val="28"/>
        </w:rPr>
        <w:t xml:space="preserve"> к</w:t>
      </w:r>
      <w:r w:rsidR="00195A68" w:rsidRPr="003B46AA">
        <w:rPr>
          <w:sz w:val="28"/>
          <w:szCs w:val="28"/>
        </w:rPr>
        <w:t xml:space="preserve">онтрольные действия проводятся в отношении </w:t>
      </w:r>
      <w:r w:rsidR="00226C7D" w:rsidRPr="003B46AA">
        <w:rPr>
          <w:sz w:val="28"/>
          <w:szCs w:val="28"/>
        </w:rPr>
        <w:t>объектов земельных отношений, за нарушение которых предусмотрена административная ответственность</w:t>
      </w:r>
      <w:r w:rsidR="00815243" w:rsidRPr="003B46AA">
        <w:rPr>
          <w:sz w:val="28"/>
          <w:szCs w:val="28"/>
        </w:rPr>
        <w:t>.</w:t>
      </w:r>
      <w:r w:rsidR="00F40CD8" w:rsidRPr="003B46AA">
        <w:rPr>
          <w:sz w:val="28"/>
          <w:szCs w:val="28"/>
        </w:rPr>
        <w:t xml:space="preserve"> На основании Федерального закона №248-ФЗ контролируемыми </w:t>
      </w:r>
      <w:r w:rsidR="00F40CD8" w:rsidRPr="003B46AA">
        <w:rPr>
          <w:sz w:val="28"/>
          <w:szCs w:val="28"/>
        </w:rPr>
        <w:lastRenderedPageBreak/>
        <w:t xml:space="preserve">лицами при осуществлении муниципального </w:t>
      </w:r>
      <w:r w:rsidR="00226C7D" w:rsidRPr="003B46AA">
        <w:rPr>
          <w:sz w:val="28"/>
          <w:szCs w:val="28"/>
        </w:rPr>
        <w:t>земельного</w:t>
      </w:r>
      <w:r w:rsidR="00F40CD8" w:rsidRPr="003B46AA">
        <w:rPr>
          <w:sz w:val="28"/>
          <w:szCs w:val="28"/>
        </w:rPr>
        <w:t xml:space="preserve"> контроля являются граждане, юридические лица, индивидуальные </w:t>
      </w:r>
      <w:r w:rsidR="001A07D4" w:rsidRPr="003B46AA">
        <w:rPr>
          <w:sz w:val="28"/>
          <w:szCs w:val="28"/>
        </w:rPr>
        <w:t>предприниматели</w:t>
      </w:r>
      <w:r w:rsidR="00F40CD8" w:rsidRPr="003B46AA">
        <w:rPr>
          <w:sz w:val="28"/>
          <w:szCs w:val="28"/>
        </w:rPr>
        <w:t>.</w:t>
      </w:r>
    </w:p>
    <w:p w:rsidR="004E1E32" w:rsidRPr="003B46AA" w:rsidRDefault="00114C49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Обязательные требования</w:t>
      </w:r>
      <w:r w:rsidR="0020765D" w:rsidRPr="003B46AA">
        <w:rPr>
          <w:sz w:val="28"/>
          <w:szCs w:val="28"/>
        </w:rPr>
        <w:t xml:space="preserve"> установлены</w:t>
      </w:r>
      <w:r w:rsidR="00941F43" w:rsidRPr="003B46AA">
        <w:rPr>
          <w:sz w:val="28"/>
          <w:szCs w:val="28"/>
        </w:rPr>
        <w:t>:</w:t>
      </w:r>
      <w:r w:rsidR="0020765D" w:rsidRPr="003B46AA">
        <w:rPr>
          <w:sz w:val="28"/>
          <w:szCs w:val="28"/>
        </w:rPr>
        <w:t xml:space="preserve"> </w:t>
      </w:r>
    </w:p>
    <w:p w:rsidR="00114C49" w:rsidRPr="003B46AA" w:rsidRDefault="00226C7D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bCs/>
          <w:sz w:val="28"/>
          <w:szCs w:val="28"/>
        </w:rPr>
      </w:pPr>
      <w:r w:rsidRPr="003B46AA">
        <w:rPr>
          <w:sz w:val="28"/>
          <w:szCs w:val="28"/>
        </w:rPr>
        <w:t xml:space="preserve">Земельным </w:t>
      </w:r>
      <w:r w:rsidR="0020765D" w:rsidRPr="003B46AA">
        <w:rPr>
          <w:sz w:val="28"/>
          <w:szCs w:val="28"/>
        </w:rPr>
        <w:t xml:space="preserve"> кодексом Р</w:t>
      </w:r>
      <w:r w:rsidR="00941F43" w:rsidRPr="003B46AA">
        <w:rPr>
          <w:sz w:val="28"/>
          <w:szCs w:val="28"/>
        </w:rPr>
        <w:t>оссийской Федерации</w:t>
      </w:r>
      <w:r w:rsidR="004E1E32" w:rsidRPr="003B46AA">
        <w:rPr>
          <w:bCs/>
          <w:sz w:val="28"/>
          <w:szCs w:val="28"/>
        </w:rPr>
        <w:t>;</w:t>
      </w:r>
    </w:p>
    <w:p w:rsidR="004E1E32" w:rsidRPr="003B46AA" w:rsidRDefault="00226C7D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bCs/>
          <w:sz w:val="28"/>
          <w:szCs w:val="28"/>
        </w:rPr>
      </w:pPr>
      <w:r w:rsidRPr="003B46AA">
        <w:rPr>
          <w:bCs/>
          <w:sz w:val="28"/>
          <w:szCs w:val="28"/>
        </w:rPr>
        <w:t xml:space="preserve">Федеральным законом </w:t>
      </w:r>
      <w:r w:rsidRPr="003B46AA">
        <w:rPr>
          <w:noProof/>
          <w:sz w:val="28"/>
          <w:szCs w:val="28"/>
        </w:rPr>
        <w:t>от 24.07.2002г. № 101-ФЗ  «Об обороте земель сельскохозяйственного назначения»</w:t>
      </w:r>
      <w:r w:rsidR="004E1E32" w:rsidRPr="003B46AA">
        <w:rPr>
          <w:bCs/>
          <w:sz w:val="28"/>
          <w:szCs w:val="28"/>
        </w:rPr>
        <w:t>;</w:t>
      </w:r>
    </w:p>
    <w:p w:rsidR="002518C7" w:rsidRPr="003B46AA" w:rsidRDefault="002518C7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bCs/>
          <w:sz w:val="28"/>
          <w:szCs w:val="28"/>
        </w:rPr>
      </w:pPr>
      <w:r w:rsidRPr="003B46AA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</w:p>
    <w:p w:rsidR="00D9724B" w:rsidRPr="003B46AA" w:rsidRDefault="00D9724B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bCs/>
          <w:sz w:val="28"/>
          <w:szCs w:val="28"/>
        </w:rPr>
      </w:pPr>
      <w:r w:rsidRPr="003B46AA">
        <w:rPr>
          <w:bCs/>
          <w:sz w:val="28"/>
          <w:szCs w:val="28"/>
        </w:rPr>
        <w:t>Закон Челябинской области от 13.04.2015 г. № 154-ЗО «О земельных отношениях»</w:t>
      </w:r>
    </w:p>
    <w:p w:rsidR="002518C7" w:rsidRPr="003B46AA" w:rsidRDefault="002518C7" w:rsidP="003B46AA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bCs/>
          <w:sz w:val="28"/>
          <w:szCs w:val="28"/>
        </w:rPr>
      </w:pPr>
      <w:r w:rsidRPr="003B46AA">
        <w:rPr>
          <w:bCs/>
          <w:sz w:val="28"/>
          <w:szCs w:val="28"/>
        </w:rPr>
        <w:t xml:space="preserve">Решением Собрания депутатов Агаповского муниципального района Челябинской области от 29.09.2021 г. №  </w:t>
      </w:r>
      <w:r w:rsidR="001028B6" w:rsidRPr="003B46AA">
        <w:rPr>
          <w:bCs/>
          <w:sz w:val="28"/>
          <w:szCs w:val="28"/>
        </w:rPr>
        <w:t>143</w:t>
      </w:r>
      <w:r w:rsidRPr="003B46AA">
        <w:rPr>
          <w:bCs/>
          <w:sz w:val="28"/>
          <w:szCs w:val="28"/>
        </w:rPr>
        <w:t xml:space="preserve">  «Об утверждении Положения о муниципальном земельном контроле на территории Агаповского муниципального района»</w:t>
      </w:r>
    </w:p>
    <w:p w:rsidR="00370C02" w:rsidRPr="003B46AA" w:rsidRDefault="00195A68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Число </w:t>
      </w:r>
      <w:r w:rsidR="0020705A" w:rsidRPr="003B46AA">
        <w:rPr>
          <w:sz w:val="28"/>
          <w:szCs w:val="28"/>
        </w:rPr>
        <w:t>объектов контроля</w:t>
      </w:r>
      <w:r w:rsidRPr="003B46AA">
        <w:rPr>
          <w:sz w:val="28"/>
          <w:szCs w:val="28"/>
        </w:rPr>
        <w:t xml:space="preserve"> </w:t>
      </w:r>
      <w:r w:rsidR="00B34F3D" w:rsidRPr="003B46AA">
        <w:rPr>
          <w:sz w:val="28"/>
          <w:szCs w:val="28"/>
        </w:rPr>
        <w:t xml:space="preserve">умеренного риска </w:t>
      </w:r>
      <w:r w:rsidR="00342762" w:rsidRPr="003B46AA">
        <w:rPr>
          <w:sz w:val="28"/>
          <w:szCs w:val="28"/>
        </w:rPr>
        <w:t xml:space="preserve">– </w:t>
      </w:r>
      <w:r w:rsidR="006433B1" w:rsidRPr="003B46AA">
        <w:rPr>
          <w:sz w:val="28"/>
          <w:szCs w:val="28"/>
        </w:rPr>
        <w:t>7</w:t>
      </w:r>
      <w:r w:rsidR="00370C02" w:rsidRPr="003B46AA">
        <w:rPr>
          <w:sz w:val="28"/>
          <w:szCs w:val="28"/>
        </w:rPr>
        <w:t>.</w:t>
      </w:r>
    </w:p>
    <w:p w:rsidR="00B34F3D" w:rsidRPr="003B46AA" w:rsidRDefault="00B34F3D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Число объектов контроля среднего риска – </w:t>
      </w:r>
      <w:r w:rsidR="006433B1" w:rsidRPr="003B46AA">
        <w:rPr>
          <w:sz w:val="28"/>
          <w:szCs w:val="28"/>
        </w:rPr>
        <w:t>7</w:t>
      </w:r>
      <w:r w:rsidRPr="003B46AA">
        <w:rPr>
          <w:sz w:val="28"/>
          <w:szCs w:val="28"/>
        </w:rPr>
        <w:t>.</w:t>
      </w:r>
    </w:p>
    <w:p w:rsidR="00C76C13" w:rsidRPr="003B46AA" w:rsidRDefault="00C76C13" w:rsidP="003B46AA">
      <w:pPr>
        <w:spacing w:after="12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За период с  января 2017 года по октябрь 2021 года</w:t>
      </w:r>
      <w:r w:rsidRPr="003B46AA">
        <w:rPr>
          <w:i/>
          <w:sz w:val="28"/>
          <w:szCs w:val="28"/>
        </w:rPr>
        <w:t xml:space="preserve"> </w:t>
      </w:r>
      <w:r w:rsidRPr="003B46AA">
        <w:rPr>
          <w:sz w:val="28"/>
          <w:szCs w:val="28"/>
        </w:rPr>
        <w:t>Управлением по имуществу и земельным отношениям Агаповского муниципального района, в рамках проведения муниципального земельного контроля по соблюдению земельного законодательства, было проведено 116 плановых и 244 внеплановая проверка, 95 рейдовых осмотров.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 xml:space="preserve">           Плановые проверки соблюдения земельного законодательства были проведены в отношении юридических лиц в количестве 21 штук, физических лиц – 95 проверок</w:t>
      </w:r>
    </w:p>
    <w:p w:rsidR="00C76C13" w:rsidRPr="003B46AA" w:rsidRDefault="00C76C13" w:rsidP="003B46AA">
      <w:pPr>
        <w:spacing w:after="12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Внеплановые проверки соблюдения земельного законодательства проводились в отношении физических лиц и их количество составило 244 проверка. Основаниями для проведения внеплановых проверок послужили:  представление органа Прокуратуры Агаповского района (25), обращения органов местного самоуправления сельских поселений ( 164) , заявления граждан (28), проверка исполнения ранее выданных предписаний (21). мероприятия по контролю без взаимодействия - рейдовые осмотры (6)</w:t>
      </w:r>
    </w:p>
    <w:p w:rsidR="00C76C13" w:rsidRPr="003B46AA" w:rsidRDefault="00C76C13" w:rsidP="003B46AA">
      <w:pPr>
        <w:autoSpaceDE w:val="0"/>
        <w:autoSpaceDN w:val="0"/>
        <w:adjustRightInd w:val="0"/>
        <w:spacing w:after="120"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sz w:val="28"/>
          <w:szCs w:val="28"/>
        </w:rPr>
        <w:t xml:space="preserve">В результате проведенных  было выявлено, что </w:t>
      </w:r>
      <w:r w:rsidRPr="003B46AA">
        <w:rPr>
          <w:rFonts w:eastAsiaTheme="minorHAnsi"/>
          <w:sz w:val="28"/>
          <w:szCs w:val="28"/>
          <w:lang w:eastAsia="en-US"/>
        </w:rPr>
        <w:t>216 земельных участков используются  без нарушения земельного законодательства, по остальным были  выявлены различного рода нарушения и выданы предписания и предостережения на устранения данных нарушений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 xml:space="preserve">          По результата  проверок выявлено: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sz w:val="28"/>
          <w:szCs w:val="28"/>
          <w:u w:val="single"/>
        </w:rPr>
      </w:pPr>
      <w:r w:rsidRPr="003B46AA">
        <w:rPr>
          <w:rFonts w:eastAsiaTheme="minorHAnsi"/>
          <w:sz w:val="28"/>
          <w:szCs w:val="28"/>
          <w:lang w:eastAsia="en-US"/>
        </w:rPr>
        <w:t xml:space="preserve">- 93 нарушения по </w:t>
      </w:r>
      <w:r w:rsidRPr="003B46AA">
        <w:rPr>
          <w:sz w:val="28"/>
          <w:szCs w:val="28"/>
        </w:rPr>
        <w:t xml:space="preserve">ст. 7.1  КоАП РФ – </w:t>
      </w:r>
      <w:r w:rsidRPr="003B46AA">
        <w:rPr>
          <w:sz w:val="28"/>
          <w:szCs w:val="28"/>
          <w:u w:val="single"/>
        </w:rPr>
        <w:t>самовольное занятие земельного участка или части земельного участка, в том числе использование земельного участка лицом, не имеющем предусмотренных законодательством Российской Федерации прав на указанный земельный участок;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3B46AA">
        <w:rPr>
          <w:sz w:val="28"/>
          <w:szCs w:val="28"/>
        </w:rPr>
        <w:t>-3 нарушение</w:t>
      </w:r>
      <w:r w:rsidRPr="003B46AA">
        <w:rPr>
          <w:sz w:val="28"/>
          <w:szCs w:val="28"/>
          <w:u w:val="single"/>
        </w:rPr>
        <w:t xml:space="preserve">  </w:t>
      </w:r>
      <w:r w:rsidRPr="003B46AA">
        <w:rPr>
          <w:rFonts w:eastAsiaTheme="minorHAnsi"/>
          <w:sz w:val="28"/>
          <w:szCs w:val="28"/>
          <w:lang w:eastAsia="en-US"/>
        </w:rPr>
        <w:t xml:space="preserve">по </w:t>
      </w:r>
      <w:r w:rsidRPr="003B46AA">
        <w:rPr>
          <w:sz w:val="28"/>
          <w:szCs w:val="28"/>
        </w:rPr>
        <w:t>ст. 8.6  КоАП РФ</w:t>
      </w:r>
      <w:r w:rsidRPr="003B46AA">
        <w:rPr>
          <w:rFonts w:eastAsiaTheme="minorHAnsi"/>
          <w:b/>
          <w:bCs/>
          <w:sz w:val="28"/>
          <w:szCs w:val="28"/>
          <w:lang w:eastAsia="en-US"/>
        </w:rPr>
        <w:t xml:space="preserve"> – </w:t>
      </w:r>
      <w:r w:rsidRPr="003B46AA">
        <w:rPr>
          <w:rFonts w:eastAsiaTheme="minorHAnsi"/>
          <w:bCs/>
          <w:sz w:val="28"/>
          <w:szCs w:val="28"/>
          <w:u w:val="single"/>
          <w:lang w:eastAsia="en-US"/>
        </w:rPr>
        <w:t>самовольное снятие или перемещение плодородного слоя почвы: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3B46AA">
        <w:rPr>
          <w:sz w:val="28"/>
          <w:szCs w:val="28"/>
        </w:rPr>
        <w:t>-23 нарушение</w:t>
      </w:r>
      <w:r w:rsidRPr="003B46AA">
        <w:rPr>
          <w:sz w:val="28"/>
          <w:szCs w:val="28"/>
          <w:u w:val="single"/>
        </w:rPr>
        <w:t xml:space="preserve">  </w:t>
      </w:r>
      <w:r w:rsidRPr="003B46AA">
        <w:rPr>
          <w:rFonts w:eastAsiaTheme="minorHAnsi"/>
          <w:sz w:val="28"/>
          <w:szCs w:val="28"/>
          <w:lang w:eastAsia="en-US"/>
        </w:rPr>
        <w:t xml:space="preserve">по </w:t>
      </w:r>
      <w:r w:rsidRPr="003B46AA">
        <w:rPr>
          <w:sz w:val="28"/>
          <w:szCs w:val="28"/>
        </w:rPr>
        <w:t>ст. 8.8  КоАП РФ</w:t>
      </w:r>
      <w:r w:rsidRPr="003B46AA">
        <w:rPr>
          <w:rFonts w:eastAsiaTheme="minorHAnsi"/>
          <w:b/>
          <w:bCs/>
          <w:sz w:val="28"/>
          <w:szCs w:val="28"/>
          <w:lang w:eastAsia="en-US"/>
        </w:rPr>
        <w:t xml:space="preserve"> - </w:t>
      </w:r>
      <w:r w:rsidRPr="003B46AA">
        <w:rPr>
          <w:rFonts w:eastAsiaTheme="minorHAnsi"/>
          <w:bCs/>
          <w:sz w:val="28"/>
          <w:szCs w:val="28"/>
          <w:u w:val="single"/>
          <w:lang w:eastAsia="en-US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назначению: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bCs/>
          <w:sz w:val="28"/>
          <w:szCs w:val="28"/>
          <w:u w:val="single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lastRenderedPageBreak/>
        <w:t xml:space="preserve">- 36 нарушения по ст. 19.4.1 </w:t>
      </w:r>
      <w:r w:rsidRPr="003B46AA">
        <w:rPr>
          <w:sz w:val="28"/>
          <w:szCs w:val="28"/>
        </w:rPr>
        <w:t>КоАП РФ (</w:t>
      </w:r>
      <w:r w:rsidRPr="003B46AA">
        <w:rPr>
          <w:rFonts w:eastAsiaTheme="minorHAnsi"/>
          <w:sz w:val="28"/>
          <w:szCs w:val="28"/>
          <w:u w:val="single"/>
          <w:lang w:eastAsia="en-US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</w:t>
      </w:r>
      <w:r w:rsidRPr="003B46AA">
        <w:rPr>
          <w:rFonts w:eastAsiaTheme="minorHAnsi"/>
          <w:sz w:val="28"/>
          <w:szCs w:val="28"/>
          <w:lang w:eastAsia="en-US"/>
        </w:rPr>
        <w:t>).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B46AA">
        <w:rPr>
          <w:sz w:val="28"/>
          <w:szCs w:val="28"/>
        </w:rPr>
        <w:t>-1 нарушение</w:t>
      </w:r>
      <w:r w:rsidRPr="003B46AA">
        <w:rPr>
          <w:sz w:val="28"/>
          <w:szCs w:val="28"/>
          <w:u w:val="single"/>
        </w:rPr>
        <w:t xml:space="preserve">  </w:t>
      </w:r>
      <w:r w:rsidRPr="003B46AA">
        <w:rPr>
          <w:rFonts w:eastAsiaTheme="minorHAnsi"/>
          <w:sz w:val="28"/>
          <w:szCs w:val="28"/>
          <w:lang w:eastAsia="en-US"/>
        </w:rPr>
        <w:t xml:space="preserve">по </w:t>
      </w:r>
      <w:r w:rsidRPr="003B46AA">
        <w:rPr>
          <w:sz w:val="28"/>
          <w:szCs w:val="28"/>
        </w:rPr>
        <w:t>ст. 19.5  КоАП РФ</w:t>
      </w:r>
      <w:r w:rsidRPr="003B46A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B46AA">
        <w:rPr>
          <w:rFonts w:eastAsiaTheme="minorHAnsi"/>
          <w:bCs/>
          <w:sz w:val="28"/>
          <w:szCs w:val="28"/>
          <w:lang w:eastAsia="en-US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C76C13" w:rsidRPr="003B46AA" w:rsidRDefault="00C76C13" w:rsidP="003B46AA">
      <w:pPr>
        <w:autoSpaceDE w:val="0"/>
        <w:autoSpaceDN w:val="0"/>
        <w:adjustRightInd w:val="0"/>
        <w:spacing w:after="120"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 xml:space="preserve"> Материалы проверок в результате которых были выявлены нарушения были направлены в различные государственные органы (по подведомственности)  для привлечения к административной ответственности </w:t>
      </w:r>
    </w:p>
    <w:p w:rsidR="00C76C13" w:rsidRPr="003B46AA" w:rsidRDefault="00C76C13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>На основании выданных предписаний об устранении выявленных нарушений действующего законодательства было проведены  внеплановые проверки. На момент проведения проверки предписания исполнены, нарушения устранены, кроме  одного (виновное лицо привлечено к административной ответственности)</w:t>
      </w:r>
    </w:p>
    <w:p w:rsidR="006433B1" w:rsidRPr="003B46AA" w:rsidRDefault="00B84957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</w:t>
      </w:r>
      <w:r w:rsidR="006433B1" w:rsidRPr="003B46AA">
        <w:rPr>
          <w:sz w:val="28"/>
          <w:szCs w:val="28"/>
        </w:rPr>
        <w:t>В рамках развития и осуществления профилактической деятельности на территории Агаповского муниципального района</w:t>
      </w:r>
      <w:r w:rsidR="000D54E5" w:rsidRPr="003B46AA">
        <w:rPr>
          <w:sz w:val="28"/>
          <w:szCs w:val="28"/>
        </w:rPr>
        <w:t xml:space="preserve"> проводились следующие мероприятия</w:t>
      </w:r>
      <w:r w:rsidR="006433B1" w:rsidRPr="003B46AA">
        <w:rPr>
          <w:sz w:val="28"/>
          <w:szCs w:val="28"/>
        </w:rPr>
        <w:t>:</w:t>
      </w:r>
    </w:p>
    <w:p w:rsidR="006433B1" w:rsidRPr="003B46AA" w:rsidRDefault="000D54E5" w:rsidP="003B46AA">
      <w:pPr>
        <w:shd w:val="clear" w:color="auto" w:fill="FFFFFF"/>
        <w:spacing w:line="240" w:lineRule="atLeast"/>
        <w:ind w:firstLine="567"/>
        <w:contextualSpacing/>
        <w:jc w:val="both"/>
        <w:textAlignment w:val="top"/>
        <w:rPr>
          <w:sz w:val="28"/>
          <w:szCs w:val="28"/>
        </w:rPr>
      </w:pPr>
      <w:r w:rsidRPr="003B46AA">
        <w:rPr>
          <w:sz w:val="28"/>
          <w:szCs w:val="28"/>
        </w:rPr>
        <w:t xml:space="preserve">- </w:t>
      </w:r>
      <w:r w:rsidR="006433B1" w:rsidRPr="003B46AA">
        <w:rPr>
          <w:sz w:val="28"/>
          <w:szCs w:val="28"/>
        </w:rPr>
        <w:t xml:space="preserve">в актуальном состоянии размещались на официальном сайте Администрации </w:t>
      </w:r>
      <w:r w:rsidRPr="003B46AA">
        <w:rPr>
          <w:sz w:val="28"/>
          <w:szCs w:val="28"/>
        </w:rPr>
        <w:t xml:space="preserve">Агаповского </w:t>
      </w:r>
      <w:r w:rsidR="006433B1" w:rsidRPr="003B46AA">
        <w:rPr>
          <w:sz w:val="28"/>
          <w:szCs w:val="28"/>
        </w:rPr>
        <w:t xml:space="preserve">муниципального района в информационно-телекоммуникационной сети «Интернет» (далее - официальный сайт Администрации </w:t>
      </w:r>
      <w:r w:rsidRPr="003B46AA">
        <w:rPr>
          <w:sz w:val="28"/>
          <w:szCs w:val="28"/>
        </w:rPr>
        <w:t>Агаповского</w:t>
      </w:r>
      <w:r w:rsidR="006433B1" w:rsidRPr="003B46AA">
        <w:rPr>
          <w:sz w:val="28"/>
          <w:szCs w:val="28"/>
        </w:rPr>
        <w:t xml:space="preserve"> муниципального района)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6433B1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- </w:t>
      </w:r>
      <w:r w:rsidR="006433B1" w:rsidRPr="003B46AA">
        <w:rPr>
          <w:sz w:val="28"/>
          <w:szCs w:val="28"/>
        </w:rPr>
        <w:t xml:space="preserve">поддерживались в актуальном состоянии и размещались на официальном сайте Администрации </w:t>
      </w:r>
      <w:r w:rsidRPr="003B46AA">
        <w:rPr>
          <w:sz w:val="28"/>
          <w:szCs w:val="28"/>
        </w:rPr>
        <w:t xml:space="preserve">Агаповского </w:t>
      </w:r>
      <w:r w:rsidR="006433B1" w:rsidRPr="003B46AA">
        <w:rPr>
          <w:sz w:val="28"/>
          <w:szCs w:val="28"/>
        </w:rPr>
        <w:t>муниципального района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  при осуществлении муниципального земельного контроля;</w:t>
      </w:r>
    </w:p>
    <w:p w:rsidR="006433B1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-</w:t>
      </w:r>
      <w:r w:rsidR="006433B1" w:rsidRPr="003B46AA">
        <w:rPr>
          <w:sz w:val="28"/>
          <w:szCs w:val="28"/>
        </w:rPr>
        <w:t xml:space="preserve">поддерживались в актуальном состоянии размещенные на официальном сайте Администрации </w:t>
      </w:r>
      <w:r w:rsidRPr="003B46AA">
        <w:rPr>
          <w:sz w:val="28"/>
          <w:szCs w:val="28"/>
        </w:rPr>
        <w:t xml:space="preserve">Агаповского </w:t>
      </w:r>
      <w:r w:rsidR="006433B1" w:rsidRPr="003B46AA">
        <w:rPr>
          <w:sz w:val="28"/>
          <w:szCs w:val="28"/>
        </w:rPr>
        <w:t xml:space="preserve"> муниципального района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6433B1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-</w:t>
      </w:r>
      <w:r w:rsidR="006433B1" w:rsidRPr="003B46AA">
        <w:rPr>
          <w:sz w:val="28"/>
          <w:szCs w:val="28"/>
        </w:rPr>
        <w:t xml:space="preserve"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</w:t>
      </w:r>
      <w:r w:rsidRPr="003B46AA">
        <w:rPr>
          <w:sz w:val="28"/>
          <w:szCs w:val="28"/>
        </w:rPr>
        <w:t>Агаповского</w:t>
      </w:r>
      <w:r w:rsidR="006433B1" w:rsidRPr="003B46AA">
        <w:rPr>
          <w:sz w:val="28"/>
          <w:szCs w:val="28"/>
        </w:rPr>
        <w:t xml:space="preserve"> муниципального района;</w:t>
      </w:r>
    </w:p>
    <w:p w:rsidR="006433B1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lastRenderedPageBreak/>
        <w:t>- р</w:t>
      </w:r>
      <w:r w:rsidR="006433B1" w:rsidRPr="003B46AA">
        <w:rPr>
          <w:sz w:val="28"/>
          <w:szCs w:val="28"/>
        </w:rPr>
        <w:t xml:space="preserve">азмещалась на официальном сайте Администрации </w:t>
      </w:r>
      <w:r w:rsidRPr="003B46AA">
        <w:rPr>
          <w:sz w:val="28"/>
          <w:szCs w:val="28"/>
        </w:rPr>
        <w:t>Агаповского</w:t>
      </w:r>
      <w:r w:rsidR="006433B1" w:rsidRPr="003B46AA">
        <w:rPr>
          <w:sz w:val="28"/>
          <w:szCs w:val="28"/>
        </w:rPr>
        <w:t xml:space="preserve"> муниципального района информация о результатах осуществления муниципального земельного контроля;</w:t>
      </w:r>
    </w:p>
    <w:p w:rsidR="006433B1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- </w:t>
      </w:r>
      <w:r w:rsidR="006433B1" w:rsidRPr="003B46AA">
        <w:rPr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="00B84957" w:rsidRPr="003B46AA">
        <w:rPr>
          <w:sz w:val="28"/>
          <w:szCs w:val="28"/>
        </w:rPr>
        <w:t>муниципальными правовыми актами.</w:t>
      </w:r>
    </w:p>
    <w:p w:rsidR="00156FE6" w:rsidRPr="003B46AA" w:rsidRDefault="00156FE6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Профилактическое сопровождение контролируемых лиц </w:t>
      </w:r>
      <w:r w:rsidR="00B105AA" w:rsidRPr="003B46AA">
        <w:rPr>
          <w:sz w:val="28"/>
          <w:szCs w:val="28"/>
        </w:rPr>
        <w:t>было</w:t>
      </w:r>
      <w:r w:rsidRPr="003B46AA">
        <w:rPr>
          <w:sz w:val="28"/>
          <w:szCs w:val="28"/>
        </w:rPr>
        <w:t xml:space="preserve"> направлено на:</w:t>
      </w:r>
    </w:p>
    <w:p w:rsidR="00156FE6" w:rsidRPr="003B46AA" w:rsidRDefault="00156FE6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</w:t>
      </w:r>
      <w:r w:rsidR="00B105AA" w:rsidRPr="003B46AA">
        <w:rPr>
          <w:sz w:val="28"/>
          <w:szCs w:val="28"/>
        </w:rPr>
        <w:t>лось</w:t>
      </w:r>
      <w:r w:rsidRPr="003B46AA">
        <w:rPr>
          <w:sz w:val="28"/>
          <w:szCs w:val="28"/>
        </w:rPr>
        <w:t xml:space="preserve"> в ходе проверок;</w:t>
      </w:r>
    </w:p>
    <w:p w:rsidR="00156FE6" w:rsidRPr="003B46AA" w:rsidRDefault="00156FE6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156FE6" w:rsidRPr="003B46AA" w:rsidRDefault="00156FE6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6B558C" w:rsidRPr="003B46AA" w:rsidRDefault="00156FE6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По результатам контрольных мероприятий, проведенных в </w:t>
      </w:r>
      <w:r w:rsidR="007625E8" w:rsidRPr="003B46AA">
        <w:rPr>
          <w:sz w:val="28"/>
          <w:szCs w:val="28"/>
        </w:rPr>
        <w:t>данном</w:t>
      </w:r>
      <w:r w:rsidRPr="003B46AA">
        <w:rPr>
          <w:sz w:val="28"/>
          <w:szCs w:val="28"/>
        </w:rPr>
        <w:t xml:space="preserve"> периоде, наиболее значимыми </w:t>
      </w:r>
      <w:r w:rsidR="00C76C13" w:rsidRPr="003B46AA">
        <w:rPr>
          <w:sz w:val="28"/>
          <w:szCs w:val="28"/>
        </w:rPr>
        <w:t>нарушениями</w:t>
      </w:r>
      <w:r w:rsidRPr="003B46AA">
        <w:rPr>
          <w:sz w:val="28"/>
          <w:szCs w:val="28"/>
        </w:rPr>
        <w:t xml:space="preserve"> явля</w:t>
      </w:r>
      <w:r w:rsidR="006B558C" w:rsidRPr="003B46AA">
        <w:rPr>
          <w:sz w:val="28"/>
          <w:szCs w:val="28"/>
        </w:rPr>
        <w:t>ю</w:t>
      </w:r>
      <w:r w:rsidR="00B105AA" w:rsidRPr="003B46AA">
        <w:rPr>
          <w:sz w:val="28"/>
          <w:szCs w:val="28"/>
        </w:rPr>
        <w:t>тся</w:t>
      </w:r>
      <w:r w:rsidR="006B558C" w:rsidRPr="003B46AA">
        <w:rPr>
          <w:sz w:val="28"/>
          <w:szCs w:val="28"/>
        </w:rPr>
        <w:t>:</w:t>
      </w:r>
    </w:p>
    <w:p w:rsidR="007625E8" w:rsidRPr="003B46AA" w:rsidRDefault="007625E8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- неисполнение подконтрольными субъектами части 1 статьи 25 ЗК РФ и части 1 статьи 26 ЗК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 </w:t>
      </w:r>
    </w:p>
    <w:p w:rsidR="007625E8" w:rsidRPr="003B46AA" w:rsidRDefault="007625E8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- статьи 42 ЗК РФ, в части использования земельных участков не по целевому назначению</w:t>
      </w:r>
    </w:p>
    <w:p w:rsidR="000D54E5" w:rsidRPr="003B46AA" w:rsidRDefault="000D54E5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Данные нарушения являются следствием того, что:</w:t>
      </w:r>
    </w:p>
    <w:p w:rsidR="000D54E5" w:rsidRPr="003B46AA" w:rsidRDefault="00B84957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-</w:t>
      </w:r>
      <w:r w:rsidR="000D54E5" w:rsidRPr="003B46AA">
        <w:rPr>
          <w:sz w:val="28"/>
          <w:szCs w:val="28"/>
        </w:rPr>
        <w:t xml:space="preserve"> подконтрольные лица  не</w:t>
      </w:r>
      <w:r w:rsidRPr="003B46AA">
        <w:rPr>
          <w:sz w:val="28"/>
          <w:szCs w:val="28"/>
        </w:rPr>
        <w:t xml:space="preserve"> </w:t>
      </w:r>
      <w:r w:rsidR="000D54E5" w:rsidRPr="003B46AA">
        <w:rPr>
          <w:sz w:val="28"/>
          <w:szCs w:val="28"/>
        </w:rPr>
        <w:t>знают</w:t>
      </w:r>
      <w:r w:rsidRPr="003B46AA">
        <w:rPr>
          <w:sz w:val="28"/>
          <w:szCs w:val="28"/>
        </w:rPr>
        <w:t xml:space="preserve"> или не догадываются </w:t>
      </w:r>
      <w:r w:rsidR="000D54E5" w:rsidRPr="003B46AA">
        <w:rPr>
          <w:sz w:val="28"/>
          <w:szCs w:val="28"/>
        </w:rPr>
        <w:t xml:space="preserve">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D54E5" w:rsidRPr="003B46AA" w:rsidRDefault="00B84957" w:rsidP="003B46AA">
      <w:pPr>
        <w:pStyle w:val="ab"/>
        <w:shd w:val="clear" w:color="auto" w:fill="FFFFFF"/>
        <w:spacing w:before="0" w:beforeAutospacing="0" w:after="170" w:afterAutospacing="0" w:line="240" w:lineRule="atLeast"/>
        <w:ind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- </w:t>
      </w:r>
      <w:r w:rsidR="000D54E5" w:rsidRPr="003B46AA">
        <w:rPr>
          <w:sz w:val="28"/>
          <w:szCs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156FE6" w:rsidRPr="003B46AA" w:rsidRDefault="00156FE6" w:rsidP="003B46AA">
      <w:pPr>
        <w:pStyle w:val="a3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C3432D" w:rsidRPr="003B46AA" w:rsidRDefault="00C3432D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center"/>
        <w:outlineLvl w:val="1"/>
        <w:rPr>
          <w:b/>
          <w:bCs/>
          <w:sz w:val="28"/>
          <w:szCs w:val="28"/>
        </w:rPr>
      </w:pPr>
      <w:r w:rsidRPr="003B46A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3B46AA" w:rsidRDefault="00C3432D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C3432D" w:rsidRPr="003B46AA" w:rsidRDefault="00C3432D" w:rsidP="003B46A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46AA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3B46AA" w:rsidRDefault="00DC4535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>1)</w:t>
      </w:r>
      <w:r w:rsidR="00E750AD" w:rsidRPr="003B46AA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3B46AA">
        <w:rPr>
          <w:rFonts w:eastAsiaTheme="minorHAnsi"/>
          <w:sz w:val="28"/>
          <w:szCs w:val="28"/>
          <w:lang w:eastAsia="en-US"/>
        </w:rPr>
        <w:t>С</w:t>
      </w:r>
      <w:r w:rsidR="00E750AD" w:rsidRPr="003B46AA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</w:t>
      </w:r>
      <w:r w:rsidR="007625E8" w:rsidRPr="003B46AA">
        <w:rPr>
          <w:rFonts w:eastAsiaTheme="minorHAnsi"/>
          <w:sz w:val="28"/>
          <w:szCs w:val="28"/>
          <w:lang w:eastAsia="en-US"/>
        </w:rPr>
        <w:t>ий всеми контролируемыми</w:t>
      </w:r>
      <w:r w:rsidR="007625E8" w:rsidRPr="003B46AA">
        <w:rPr>
          <w:sz w:val="28"/>
          <w:szCs w:val="28"/>
        </w:rPr>
        <w:t>.</w:t>
      </w:r>
    </w:p>
    <w:p w:rsidR="00E750AD" w:rsidRPr="003B46AA" w:rsidRDefault="00DC4535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>2)</w:t>
      </w:r>
      <w:r w:rsidR="00E750AD" w:rsidRPr="003B46AA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3B46AA">
        <w:rPr>
          <w:rFonts w:eastAsiaTheme="minorHAnsi"/>
          <w:sz w:val="28"/>
          <w:szCs w:val="28"/>
          <w:lang w:eastAsia="en-US"/>
        </w:rPr>
        <w:t>У</w:t>
      </w:r>
      <w:r w:rsidR="00E750AD" w:rsidRPr="003B46AA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3B46AA" w:rsidRDefault="00DC4535" w:rsidP="003B46AA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B46AA">
        <w:rPr>
          <w:rFonts w:eastAsiaTheme="minorHAnsi"/>
          <w:sz w:val="28"/>
          <w:szCs w:val="28"/>
          <w:lang w:eastAsia="en-US"/>
        </w:rPr>
        <w:t>3)</w:t>
      </w:r>
      <w:r w:rsidR="00E750AD" w:rsidRPr="003B46AA">
        <w:rPr>
          <w:rFonts w:eastAsiaTheme="minorHAnsi"/>
          <w:sz w:val="28"/>
          <w:szCs w:val="28"/>
          <w:lang w:eastAsia="en-US"/>
        </w:rPr>
        <w:t xml:space="preserve"> </w:t>
      </w:r>
      <w:r w:rsidR="00B06818" w:rsidRPr="003B46AA">
        <w:rPr>
          <w:rFonts w:eastAsiaTheme="minorHAnsi"/>
          <w:sz w:val="28"/>
          <w:szCs w:val="28"/>
          <w:lang w:eastAsia="en-US"/>
        </w:rPr>
        <w:t>С</w:t>
      </w:r>
      <w:r w:rsidR="00E750AD" w:rsidRPr="003B46AA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3B46AA" w:rsidRDefault="00C3432D" w:rsidP="003B46AA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46AA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3B46AA" w:rsidRDefault="00B06818" w:rsidP="003B46A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6AA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024148" w:rsidRPr="003B46AA" w:rsidRDefault="008E50D9" w:rsidP="003B46AA">
      <w:pPr>
        <w:pStyle w:val="Default"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В</w:t>
      </w:r>
      <w:r w:rsidR="004F74F7" w:rsidRPr="003B46AA">
        <w:rPr>
          <w:sz w:val="28"/>
          <w:szCs w:val="28"/>
        </w:rPr>
        <w:t>недрение способов профилактики</w:t>
      </w:r>
      <w:r w:rsidR="00840B16" w:rsidRPr="003B46AA">
        <w:rPr>
          <w:sz w:val="28"/>
          <w:szCs w:val="28"/>
        </w:rPr>
        <w:t>, установленных П</w:t>
      </w:r>
      <w:r w:rsidR="00D054F8" w:rsidRPr="003B46AA">
        <w:rPr>
          <w:sz w:val="28"/>
          <w:szCs w:val="28"/>
        </w:rPr>
        <w:t xml:space="preserve">оложением о </w:t>
      </w:r>
      <w:r w:rsidR="006505DB" w:rsidRPr="003B46AA">
        <w:rPr>
          <w:sz w:val="28"/>
          <w:szCs w:val="28"/>
        </w:rPr>
        <w:t>муниципальном земельном контроле</w:t>
      </w:r>
      <w:r w:rsidR="004F74F7" w:rsidRPr="003B46AA">
        <w:rPr>
          <w:sz w:val="28"/>
          <w:szCs w:val="28"/>
        </w:rPr>
        <w:t xml:space="preserve">; </w:t>
      </w:r>
    </w:p>
    <w:p w:rsidR="008E50D9" w:rsidRPr="003B46AA" w:rsidRDefault="008E50D9" w:rsidP="003B46AA">
      <w:pPr>
        <w:pStyle w:val="Default"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>П</w:t>
      </w:r>
      <w:r w:rsidR="004F74F7" w:rsidRPr="003B46AA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3B46AA" w:rsidRDefault="0095758A" w:rsidP="003B46AA">
      <w:pPr>
        <w:pStyle w:val="Default"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У</w:t>
      </w:r>
      <w:r w:rsidR="004F74F7" w:rsidRPr="003B46AA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3B46AA" w:rsidRDefault="008E50D9" w:rsidP="003B46AA">
      <w:pPr>
        <w:pStyle w:val="Default"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</w:t>
      </w:r>
      <w:r w:rsidR="0095758A" w:rsidRPr="003B46AA">
        <w:rPr>
          <w:sz w:val="28"/>
          <w:szCs w:val="28"/>
        </w:rPr>
        <w:t>П</w:t>
      </w:r>
      <w:r w:rsidR="004F74F7" w:rsidRPr="003B46AA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3B46AA" w:rsidRDefault="0095758A" w:rsidP="003B46AA">
      <w:pPr>
        <w:pStyle w:val="Default"/>
        <w:numPr>
          <w:ilvl w:val="0"/>
          <w:numId w:val="3"/>
        </w:numPr>
        <w:tabs>
          <w:tab w:val="left" w:pos="851"/>
        </w:tabs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3B46AA">
        <w:rPr>
          <w:sz w:val="28"/>
          <w:szCs w:val="28"/>
        </w:rPr>
        <w:t xml:space="preserve"> </w:t>
      </w:r>
      <w:r w:rsidRPr="003B46AA">
        <w:rPr>
          <w:i/>
          <w:sz w:val="28"/>
          <w:szCs w:val="28"/>
        </w:rPr>
        <w:t xml:space="preserve"> </w:t>
      </w:r>
      <w:r w:rsidR="007625E8" w:rsidRPr="003B46AA">
        <w:rPr>
          <w:sz w:val="28"/>
          <w:szCs w:val="28"/>
        </w:rPr>
        <w:t xml:space="preserve">Предупреждение нарушения подконтрольными субъектами обязательных требований земельного законодательства. </w:t>
      </w:r>
    </w:p>
    <w:p w:rsidR="007625E8" w:rsidRDefault="007625E8" w:rsidP="00CF1308">
      <w:pPr>
        <w:pStyle w:val="Default"/>
        <w:jc w:val="center"/>
        <w:rPr>
          <w:b/>
          <w:bCs/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3B46A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 w:rsidP="006505D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 w:rsidP="006505D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5555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E43" w:rsidRPr="00E5555E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E5555E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6505D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5555E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B46AA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46AA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B46AA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B46AA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CA3E43" w:rsidRPr="003B46AA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3B46A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CA3E43" w:rsidRPr="003B46AA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3B46A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</w:t>
            </w:r>
            <w:r w:rsidRPr="003B46AA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B46AA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46AA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3B46AA">
              <w:rPr>
                <w:iCs/>
                <w:sz w:val="26"/>
                <w:szCs w:val="26"/>
              </w:rPr>
              <w:t>4</w:t>
            </w:r>
            <w:r w:rsidRPr="003B46AA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 w:rsidRPr="003B46AA"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7F0C3F" w:rsidRPr="00D01B35" w:rsidTr="002518C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C3F" w:rsidRPr="001863C6" w:rsidRDefault="007F0C3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F0C3F" w:rsidRPr="00D01B35" w:rsidTr="007F0C3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7F0C3F" w:rsidRPr="001863C6" w:rsidRDefault="007F0C3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B84957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F" w:rsidRPr="001863C6" w:rsidRDefault="007F0C3F">
            <w:pPr>
              <w:rPr>
                <w:sz w:val="26"/>
                <w:szCs w:val="26"/>
              </w:rPr>
            </w:pPr>
          </w:p>
        </w:tc>
      </w:tr>
      <w:tr w:rsidR="00B95142" w:rsidRPr="0038023D" w:rsidTr="002518C7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8023D" w:rsidRDefault="0038023D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8023D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95142" w:rsidRPr="0038023D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38023D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8023D" w:rsidRDefault="0038023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8023D">
              <w:rPr>
                <w:iCs/>
                <w:sz w:val="26"/>
                <w:szCs w:val="26"/>
              </w:rPr>
              <w:t>2</w:t>
            </w:r>
            <w:r w:rsidR="00B95142" w:rsidRPr="0038023D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8023D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8023D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8023D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8023D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8023D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8023D" w:rsidRDefault="0038023D" w:rsidP="0038023D">
            <w:pPr>
              <w:rPr>
                <w:iCs/>
                <w:sz w:val="26"/>
                <w:szCs w:val="26"/>
              </w:rPr>
            </w:pPr>
            <w:r w:rsidRPr="0038023D">
              <w:rPr>
                <w:iCs/>
                <w:sz w:val="26"/>
                <w:szCs w:val="26"/>
              </w:rPr>
              <w:t>Ведущий специалист отдела земельных отношений УИЗО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8023D" w:rsidRDefault="00AD21A5">
            <w:pPr>
              <w:rPr>
                <w:iCs/>
                <w:sz w:val="26"/>
                <w:szCs w:val="26"/>
              </w:rPr>
            </w:pPr>
            <w:r w:rsidRPr="0038023D">
              <w:rPr>
                <w:iCs/>
                <w:sz w:val="26"/>
                <w:szCs w:val="26"/>
              </w:rPr>
              <w:t>п</w:t>
            </w:r>
            <w:r w:rsidR="0037713A" w:rsidRPr="0038023D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2518C7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8023D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C33BB7" w:rsidP="00631FF5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Начальник УИЗО, Начальник отдела земельных отношений УИЗО  и ведущий специалист отдела земельных отношений УИЗО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5057C" w:rsidRPr="005A2862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Величина</w:t>
            </w:r>
          </w:p>
        </w:tc>
      </w:tr>
      <w:tr w:rsidR="00E5057C" w:rsidRPr="00FF5DAC" w:rsidTr="002518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100 %</w:t>
            </w:r>
          </w:p>
        </w:tc>
      </w:tr>
      <w:tr w:rsidR="00E5057C" w:rsidRPr="00FF5DAC" w:rsidTr="002518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70</w:t>
            </w:r>
            <w:r w:rsidR="00E5057C" w:rsidRPr="00D55B1E">
              <w:rPr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FF5DAC" w:rsidTr="002518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D55B1E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100</w:t>
            </w:r>
            <w:r w:rsidR="00452825" w:rsidRPr="00D55B1E">
              <w:rPr>
                <w:sz w:val="26"/>
                <w:szCs w:val="26"/>
              </w:rPr>
              <w:t>% от запланированных</w:t>
            </w:r>
          </w:p>
        </w:tc>
      </w:tr>
      <w:tr w:rsidR="006779E8" w:rsidRPr="004C07C5" w:rsidTr="002518C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D55B1E" w:rsidRDefault="006779E8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D55B1E" w:rsidRDefault="006B4D42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Количество проведенных профилактических мероприятий, на результаты которых поданы жалобы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D55B1E" w:rsidRDefault="006B4D42" w:rsidP="006B4D4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D55B1E">
              <w:rPr>
                <w:sz w:val="26"/>
                <w:szCs w:val="26"/>
              </w:rPr>
              <w:t>0% от проведенных</w:t>
            </w:r>
            <w:r w:rsidRPr="00D55B1E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C33BB7" w:rsidRDefault="00724C17" w:rsidP="005A2862">
      <w:pPr>
        <w:pStyle w:val="a3"/>
        <w:ind w:firstLine="709"/>
        <w:jc w:val="both"/>
        <w:rPr>
          <w:sz w:val="28"/>
          <w:szCs w:val="28"/>
        </w:rPr>
      </w:pPr>
      <w:r w:rsidRPr="00C33BB7">
        <w:rPr>
          <w:sz w:val="28"/>
          <w:szCs w:val="28"/>
        </w:rPr>
        <w:t xml:space="preserve">Для оценки эффективности и результативности </w:t>
      </w:r>
      <w:r w:rsidR="00D5098F" w:rsidRPr="00C33BB7">
        <w:rPr>
          <w:sz w:val="28"/>
          <w:szCs w:val="28"/>
        </w:rPr>
        <w:t>программы профилактики использую</w:t>
      </w:r>
      <w:r w:rsidRPr="00C33BB7">
        <w:rPr>
          <w:sz w:val="28"/>
          <w:szCs w:val="28"/>
        </w:rPr>
        <w:t xml:space="preserve">тся </w:t>
      </w:r>
      <w:r w:rsidR="00D5098F" w:rsidRPr="00C33BB7">
        <w:rPr>
          <w:sz w:val="28"/>
          <w:szCs w:val="28"/>
        </w:rPr>
        <w:t xml:space="preserve">следующие </w:t>
      </w:r>
      <w:r w:rsidR="00001203" w:rsidRPr="00C33BB7">
        <w:rPr>
          <w:sz w:val="28"/>
          <w:szCs w:val="28"/>
        </w:rPr>
        <w:t>оценки показателей</w:t>
      </w:r>
      <w:r w:rsidR="00D5098F" w:rsidRPr="00C33BB7">
        <w:rPr>
          <w:sz w:val="28"/>
          <w:szCs w:val="28"/>
        </w:rPr>
        <w:t>:</w:t>
      </w:r>
    </w:p>
    <w:p w:rsidR="00D5098F" w:rsidRPr="00C33BB7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637"/>
        <w:gridCol w:w="2028"/>
      </w:tblGrid>
      <w:tr w:rsidR="00396D04" w:rsidRPr="00C33BB7" w:rsidTr="00396D04">
        <w:trPr>
          <w:trHeight w:val="420"/>
        </w:trPr>
        <w:tc>
          <w:tcPr>
            <w:tcW w:w="3119" w:type="dxa"/>
          </w:tcPr>
          <w:p w:rsidR="00396D04" w:rsidRPr="00C33BB7" w:rsidRDefault="00CA3E43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з</w:t>
            </w:r>
            <w:r w:rsidR="00396D04" w:rsidRPr="00C33BB7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C33BB7" w:rsidRDefault="00D2182E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C33BB7" w:rsidRDefault="00D2182E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C33BB7" w:rsidRDefault="00D2182E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C33BB7" w:rsidTr="00396D04">
        <w:trPr>
          <w:trHeight w:val="420"/>
        </w:trPr>
        <w:tc>
          <w:tcPr>
            <w:tcW w:w="3119" w:type="dxa"/>
          </w:tcPr>
          <w:p w:rsidR="00396D04" w:rsidRPr="00C33BB7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оц</w:t>
            </w:r>
            <w:r w:rsidR="00396D04" w:rsidRPr="00C33BB7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C33BB7" w:rsidRDefault="00D2182E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C33BB7" w:rsidRDefault="00D43FA8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C33BB7" w:rsidRDefault="00D43FA8" w:rsidP="00CA3E43">
            <w:pPr>
              <w:jc w:val="center"/>
              <w:rPr>
                <w:sz w:val="28"/>
                <w:szCs w:val="28"/>
              </w:rPr>
            </w:pPr>
            <w:r w:rsidRPr="00C33BB7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3B46AA">
      <w:head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8F" w:rsidRDefault="00D44A8F" w:rsidP="00D94F59">
      <w:r>
        <w:separator/>
      </w:r>
    </w:p>
  </w:endnote>
  <w:endnote w:type="continuationSeparator" w:id="1">
    <w:p w:rsidR="00D44A8F" w:rsidRDefault="00D44A8F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8F" w:rsidRDefault="00D44A8F" w:rsidP="00D94F59">
      <w:r>
        <w:separator/>
      </w:r>
    </w:p>
  </w:footnote>
  <w:footnote w:type="continuationSeparator" w:id="1">
    <w:p w:rsidR="00D44A8F" w:rsidRDefault="00D44A8F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2518C7" w:rsidRDefault="009A5A44">
        <w:pPr>
          <w:pStyle w:val="ad"/>
          <w:jc w:val="center"/>
        </w:pPr>
        <w:fldSimple w:instr=" PAGE   \* MERGEFORMAT ">
          <w:r w:rsidR="00D55B1E">
            <w:rPr>
              <w:noProof/>
            </w:rPr>
            <w:t>2</w:t>
          </w:r>
        </w:fldSimple>
      </w:p>
    </w:sdtContent>
  </w:sdt>
  <w:p w:rsidR="002518C7" w:rsidRDefault="002518C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10074"/>
    <w:multiLevelType w:val="multilevel"/>
    <w:tmpl w:val="37760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01203"/>
    <w:rsid w:val="00004118"/>
    <w:rsid w:val="00015A7B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4E5"/>
    <w:rsid w:val="000D57FB"/>
    <w:rsid w:val="000E7104"/>
    <w:rsid w:val="000F335D"/>
    <w:rsid w:val="000F6F91"/>
    <w:rsid w:val="001028B6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26C7D"/>
    <w:rsid w:val="00235FAC"/>
    <w:rsid w:val="00240FFB"/>
    <w:rsid w:val="00247EF5"/>
    <w:rsid w:val="002518C7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8023D"/>
    <w:rsid w:val="00396D04"/>
    <w:rsid w:val="00397FE9"/>
    <w:rsid w:val="003B46AA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C6AE9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433B1"/>
    <w:rsid w:val="006505DB"/>
    <w:rsid w:val="006617BB"/>
    <w:rsid w:val="006779E8"/>
    <w:rsid w:val="00685D5A"/>
    <w:rsid w:val="006918CA"/>
    <w:rsid w:val="0069523D"/>
    <w:rsid w:val="006969AD"/>
    <w:rsid w:val="006B2CC5"/>
    <w:rsid w:val="006B4D42"/>
    <w:rsid w:val="006B558C"/>
    <w:rsid w:val="006D2FB3"/>
    <w:rsid w:val="006E08E7"/>
    <w:rsid w:val="006E727D"/>
    <w:rsid w:val="0070520E"/>
    <w:rsid w:val="007167E7"/>
    <w:rsid w:val="00724C17"/>
    <w:rsid w:val="00734BF8"/>
    <w:rsid w:val="00736D9B"/>
    <w:rsid w:val="00736F16"/>
    <w:rsid w:val="007625E8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0C3F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A5A44"/>
    <w:rsid w:val="009B2976"/>
    <w:rsid w:val="009C1E25"/>
    <w:rsid w:val="009D621A"/>
    <w:rsid w:val="009E77F6"/>
    <w:rsid w:val="00A020B1"/>
    <w:rsid w:val="00A0582D"/>
    <w:rsid w:val="00A260D1"/>
    <w:rsid w:val="00A27B9A"/>
    <w:rsid w:val="00A4401D"/>
    <w:rsid w:val="00A47F87"/>
    <w:rsid w:val="00A50678"/>
    <w:rsid w:val="00A66BAA"/>
    <w:rsid w:val="00A71708"/>
    <w:rsid w:val="00A82878"/>
    <w:rsid w:val="00A9150A"/>
    <w:rsid w:val="00A949C6"/>
    <w:rsid w:val="00AA4442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4957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3BB7"/>
    <w:rsid w:val="00C3432D"/>
    <w:rsid w:val="00C35D6C"/>
    <w:rsid w:val="00C42DD5"/>
    <w:rsid w:val="00C579CE"/>
    <w:rsid w:val="00C626A5"/>
    <w:rsid w:val="00C6310B"/>
    <w:rsid w:val="00C76C13"/>
    <w:rsid w:val="00C804A8"/>
    <w:rsid w:val="00C86F48"/>
    <w:rsid w:val="00C91CAE"/>
    <w:rsid w:val="00C92582"/>
    <w:rsid w:val="00CA1EB6"/>
    <w:rsid w:val="00CA22BE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44A8F"/>
    <w:rsid w:val="00D5098F"/>
    <w:rsid w:val="00D54415"/>
    <w:rsid w:val="00D55B1E"/>
    <w:rsid w:val="00D60F69"/>
    <w:rsid w:val="00D65A85"/>
    <w:rsid w:val="00D6791B"/>
    <w:rsid w:val="00D85B6E"/>
    <w:rsid w:val="00D94F59"/>
    <w:rsid w:val="00D9724B"/>
    <w:rsid w:val="00DA061D"/>
    <w:rsid w:val="00DB59AE"/>
    <w:rsid w:val="00DC4535"/>
    <w:rsid w:val="00DD6F09"/>
    <w:rsid w:val="00DD7EA8"/>
    <w:rsid w:val="00E00DE3"/>
    <w:rsid w:val="00E0386C"/>
    <w:rsid w:val="00E126E3"/>
    <w:rsid w:val="00E16446"/>
    <w:rsid w:val="00E32500"/>
    <w:rsid w:val="00E42FE8"/>
    <w:rsid w:val="00E5057C"/>
    <w:rsid w:val="00E5555E"/>
    <w:rsid w:val="00E60BBE"/>
    <w:rsid w:val="00E614B1"/>
    <w:rsid w:val="00E63D31"/>
    <w:rsid w:val="00E750AD"/>
    <w:rsid w:val="00E85C71"/>
    <w:rsid w:val="00EB566A"/>
    <w:rsid w:val="00EE2D7E"/>
    <w:rsid w:val="00EE596A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D5DF6"/>
    <w:rsid w:val="00FE6CEB"/>
    <w:rsid w:val="00FF2E96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35BA-CF8E-4C2F-A9C0-A73EA40A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6</cp:revision>
  <cp:lastPrinted>2021-10-01T05:19:00Z</cp:lastPrinted>
  <dcterms:created xsi:type="dcterms:W3CDTF">2021-09-28T11:14:00Z</dcterms:created>
  <dcterms:modified xsi:type="dcterms:W3CDTF">2021-10-01T05:20:00Z</dcterms:modified>
</cp:coreProperties>
</file>