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5" w:rsidRPr="004C6CF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</w:p>
    <w:p w:rsidR="004C6CF5" w:rsidRPr="004C6CF5" w:rsidRDefault="001E3CEB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9264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32432962" r:id="rId10"/>
        </w:pict>
      </w:r>
      <w:r w:rsidR="004C6CF5"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СЧЕТНАЯ   ПАЛАТА</w:t>
      </w:r>
    </w:p>
    <w:p w:rsidR="004C6CF5" w:rsidRPr="004C6CF5" w:rsidRDefault="004C6CF5" w:rsidP="004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АГАПОВСКОГО МУНИЦИПАЛЬНОГО РАЙОНА </w:t>
      </w:r>
    </w:p>
    <w:p w:rsidR="004C6CF5" w:rsidRPr="004C6CF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457400  с. Агаповка, ул. Пролетарская, 29А, тел: 2-11-37, 2-14-36</w:t>
      </w:r>
    </w:p>
    <w:p w:rsidR="00C57F5D" w:rsidRDefault="00C57F5D" w:rsidP="00C57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F0" w:rsidRDefault="007103F0" w:rsidP="00C57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F5" w:rsidRPr="005F4C8C" w:rsidRDefault="004C6CF5" w:rsidP="00716D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EE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37C" w:rsidRPr="005F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B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77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66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C6CF5" w:rsidRPr="004C6CF5" w:rsidRDefault="004C6CF5" w:rsidP="00C5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 решения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 w:rsidR="00EE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Агаповского муниципального района Челябинской области</w:t>
      </w:r>
    </w:p>
    <w:p w:rsidR="004C6CF5" w:rsidRPr="004C6CF5" w:rsidRDefault="004C6CF5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EE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5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36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40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5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57F5D" w:rsidRDefault="00C57F5D" w:rsidP="00C57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57F5D" w:rsidRDefault="00C57F5D" w:rsidP="00C57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7F5D" w:rsidRPr="00FB1CF1" w:rsidRDefault="00C57F5D" w:rsidP="00C57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5D" w:rsidRPr="00372CC6" w:rsidRDefault="00C57F5D" w:rsidP="00C57F5D">
      <w:pPr>
        <w:pStyle w:val="af8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372CC6">
        <w:rPr>
          <w:b/>
          <w:sz w:val="28"/>
          <w:szCs w:val="28"/>
        </w:rPr>
        <w:t>Общие положения.</w:t>
      </w:r>
    </w:p>
    <w:p w:rsidR="00CC12DB" w:rsidRPr="00157506" w:rsidRDefault="004C6CF5" w:rsidP="00CC12DB">
      <w:pPr>
        <w:pStyle w:val="12"/>
        <w:rPr>
          <w:color w:val="FF0000"/>
          <w:szCs w:val="28"/>
        </w:rPr>
      </w:pPr>
      <w:proofErr w:type="gramStart"/>
      <w:r w:rsidRPr="004C6CF5">
        <w:rPr>
          <w:szCs w:val="28"/>
        </w:rPr>
        <w:t xml:space="preserve">Заключение на проект решения Совета депутатов </w:t>
      </w:r>
      <w:r w:rsidR="00EE737C">
        <w:rPr>
          <w:szCs w:val="28"/>
        </w:rPr>
        <w:t>Светлогор</w:t>
      </w:r>
      <w:r w:rsidRPr="004C6CF5">
        <w:rPr>
          <w:szCs w:val="28"/>
        </w:rPr>
        <w:t>ского сельского поселения Агаповского муниципального района Челябинской области</w:t>
      </w:r>
      <w:r w:rsidR="0036280E">
        <w:rPr>
          <w:szCs w:val="28"/>
        </w:rPr>
        <w:t xml:space="preserve"> </w:t>
      </w:r>
      <w:r w:rsidRPr="004C6CF5">
        <w:rPr>
          <w:szCs w:val="28"/>
        </w:rPr>
        <w:t xml:space="preserve">«О бюджете </w:t>
      </w:r>
      <w:r w:rsidR="00EE737C">
        <w:rPr>
          <w:szCs w:val="28"/>
        </w:rPr>
        <w:t>Светлогор</w:t>
      </w:r>
      <w:r w:rsidRPr="004C6CF5">
        <w:rPr>
          <w:szCs w:val="28"/>
        </w:rPr>
        <w:t xml:space="preserve">ского сельского поселения </w:t>
      </w:r>
      <w:r w:rsidR="003576F6">
        <w:rPr>
          <w:szCs w:val="28"/>
        </w:rPr>
        <w:t xml:space="preserve">на </w:t>
      </w:r>
      <w:r w:rsidR="003663D0">
        <w:rPr>
          <w:szCs w:val="28"/>
        </w:rPr>
        <w:t>202</w:t>
      </w:r>
      <w:r w:rsidR="000769A6">
        <w:rPr>
          <w:szCs w:val="28"/>
        </w:rPr>
        <w:t>3</w:t>
      </w:r>
      <w:r w:rsidR="003576F6">
        <w:rPr>
          <w:szCs w:val="28"/>
        </w:rPr>
        <w:t xml:space="preserve"> год и на плановый период </w:t>
      </w:r>
      <w:r w:rsidR="003663D0">
        <w:rPr>
          <w:szCs w:val="28"/>
        </w:rPr>
        <w:t>202</w:t>
      </w:r>
      <w:r w:rsidR="000769A6">
        <w:rPr>
          <w:szCs w:val="28"/>
        </w:rPr>
        <w:t>4</w:t>
      </w:r>
      <w:r w:rsidR="003576F6">
        <w:rPr>
          <w:szCs w:val="28"/>
        </w:rPr>
        <w:t xml:space="preserve"> и </w:t>
      </w:r>
      <w:r w:rsidR="003663D0">
        <w:rPr>
          <w:szCs w:val="28"/>
        </w:rPr>
        <w:t>202</w:t>
      </w:r>
      <w:r w:rsidR="000769A6">
        <w:rPr>
          <w:szCs w:val="28"/>
        </w:rPr>
        <w:t>5</w:t>
      </w:r>
      <w:r w:rsidR="003576F6">
        <w:rPr>
          <w:szCs w:val="28"/>
        </w:rPr>
        <w:t xml:space="preserve"> годов</w:t>
      </w:r>
      <w:r w:rsidRPr="004C6CF5">
        <w:rPr>
          <w:szCs w:val="28"/>
        </w:rPr>
        <w:t xml:space="preserve">» </w:t>
      </w:r>
      <w:r w:rsidR="00157506" w:rsidRPr="004C6CF5">
        <w:rPr>
          <w:szCs w:val="28"/>
        </w:rPr>
        <w:t xml:space="preserve">подготовлено в соответствии с требованиями Бюджетного кодекса Российской Федерации (БК РФ), </w:t>
      </w:r>
      <w:r w:rsidR="00157506" w:rsidRPr="00697901">
        <w:rPr>
          <w:szCs w:val="28"/>
        </w:rPr>
        <w:t xml:space="preserve">решением Совета депутатов </w:t>
      </w:r>
      <w:r w:rsidR="00157506">
        <w:rPr>
          <w:szCs w:val="28"/>
        </w:rPr>
        <w:t>Светлогорского</w:t>
      </w:r>
      <w:r w:rsidR="00157506" w:rsidRPr="00697901">
        <w:rPr>
          <w:szCs w:val="28"/>
        </w:rPr>
        <w:t xml:space="preserve"> сельского поселения» от </w:t>
      </w:r>
      <w:r w:rsidR="00157506">
        <w:rPr>
          <w:szCs w:val="28"/>
        </w:rPr>
        <w:t>13.11.</w:t>
      </w:r>
      <w:r w:rsidR="003663D0">
        <w:rPr>
          <w:szCs w:val="28"/>
        </w:rPr>
        <w:t>201</w:t>
      </w:r>
      <w:r w:rsidR="00757E37" w:rsidRPr="00757E37">
        <w:rPr>
          <w:szCs w:val="28"/>
        </w:rPr>
        <w:t>8</w:t>
      </w:r>
      <w:r w:rsidR="00157506" w:rsidRPr="00697901">
        <w:rPr>
          <w:szCs w:val="28"/>
        </w:rPr>
        <w:t xml:space="preserve"> г. № 1</w:t>
      </w:r>
      <w:r w:rsidR="00157506">
        <w:rPr>
          <w:szCs w:val="28"/>
        </w:rPr>
        <w:t>26</w:t>
      </w:r>
      <w:r w:rsidR="00157506" w:rsidRPr="00697901">
        <w:rPr>
          <w:szCs w:val="28"/>
        </w:rPr>
        <w:t xml:space="preserve">, «Об утверждении Положения «О бюджетном процессе в </w:t>
      </w:r>
      <w:r w:rsidR="00157506">
        <w:rPr>
          <w:szCs w:val="28"/>
        </w:rPr>
        <w:t>Светлогорском</w:t>
      </w:r>
      <w:r w:rsidR="00157506" w:rsidRPr="00697901">
        <w:rPr>
          <w:szCs w:val="28"/>
        </w:rPr>
        <w:t xml:space="preserve"> сельском</w:t>
      </w:r>
      <w:proofErr w:type="gramEnd"/>
      <w:r w:rsidR="00157506" w:rsidRPr="00697901">
        <w:rPr>
          <w:szCs w:val="28"/>
        </w:rPr>
        <w:t xml:space="preserve"> </w:t>
      </w:r>
      <w:proofErr w:type="gramStart"/>
      <w:r w:rsidR="00157506" w:rsidRPr="00697901">
        <w:rPr>
          <w:szCs w:val="28"/>
        </w:rPr>
        <w:t>поселении Агаповского муниципального района Челябинской области»</w:t>
      </w:r>
      <w:r w:rsidR="00910AE7">
        <w:rPr>
          <w:szCs w:val="28"/>
        </w:rPr>
        <w:t xml:space="preserve"> (далее – Положение </w:t>
      </w:r>
      <w:r w:rsidR="00910AE7" w:rsidRPr="008A180B">
        <w:rPr>
          <w:szCs w:val="28"/>
        </w:rPr>
        <w:t xml:space="preserve">«О  бюджетном процессе в </w:t>
      </w:r>
      <w:r w:rsidR="00910AE7">
        <w:rPr>
          <w:szCs w:val="28"/>
        </w:rPr>
        <w:t>Светлогорском</w:t>
      </w:r>
      <w:r w:rsidR="00910AE7" w:rsidRPr="008A180B">
        <w:rPr>
          <w:szCs w:val="28"/>
        </w:rPr>
        <w:t xml:space="preserve"> сельском поселении»</w:t>
      </w:r>
      <w:r w:rsidR="00910AE7">
        <w:rPr>
          <w:szCs w:val="28"/>
        </w:rPr>
        <w:t>)</w:t>
      </w:r>
      <w:r w:rsidR="00157506">
        <w:rPr>
          <w:szCs w:val="28"/>
        </w:rPr>
        <w:t>,</w:t>
      </w:r>
      <w:r w:rsidR="00157506" w:rsidRPr="00697901">
        <w:rPr>
          <w:szCs w:val="28"/>
        </w:rPr>
        <w:t xml:space="preserve"> </w:t>
      </w:r>
      <w:r w:rsidR="00157506" w:rsidRPr="003B00E5">
        <w:rPr>
          <w:szCs w:val="28"/>
        </w:rPr>
        <w:t xml:space="preserve">решением Совета депутатов </w:t>
      </w:r>
      <w:r w:rsidR="00157506">
        <w:rPr>
          <w:szCs w:val="28"/>
        </w:rPr>
        <w:t>Светлогорского</w:t>
      </w:r>
      <w:r w:rsidR="00157506" w:rsidRPr="003B00E5">
        <w:rPr>
          <w:szCs w:val="28"/>
        </w:rPr>
        <w:t xml:space="preserve"> сельского поселения Агаповского муниципального района от </w:t>
      </w:r>
      <w:r w:rsidR="00157506" w:rsidRPr="004C6CF5">
        <w:rPr>
          <w:color w:val="000000"/>
          <w:szCs w:val="28"/>
        </w:rPr>
        <w:t xml:space="preserve"> </w:t>
      </w:r>
      <w:r w:rsidR="00157506">
        <w:rPr>
          <w:color w:val="000000"/>
          <w:szCs w:val="28"/>
        </w:rPr>
        <w:t xml:space="preserve">26.01.2017 </w:t>
      </w:r>
      <w:r w:rsidR="00157506" w:rsidRPr="004C6CF5">
        <w:rPr>
          <w:color w:val="000000"/>
          <w:szCs w:val="28"/>
        </w:rPr>
        <w:t>года</w:t>
      </w:r>
      <w:r w:rsidR="00B43077">
        <w:rPr>
          <w:color w:val="000000"/>
          <w:szCs w:val="28"/>
        </w:rPr>
        <w:t xml:space="preserve"> № 72</w:t>
      </w:r>
      <w:r w:rsidR="00157506" w:rsidRPr="003B00E5">
        <w:rPr>
          <w:szCs w:val="28"/>
        </w:rPr>
        <w:t xml:space="preserve"> «О передаче части полномочий по осуществлению внешнего муниципального финансового контроля Контрольно-счетной палате Агаповского муниципального района».</w:t>
      </w:r>
      <w:proofErr w:type="gramEnd"/>
    </w:p>
    <w:p w:rsidR="00C57F5D" w:rsidRPr="004C6CF5" w:rsidRDefault="00C57F5D" w:rsidP="00C57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материалы</w:t>
      </w:r>
      <w:r w:rsid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на экспертизу 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Светлогорского сельского поселения на 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2DB" w:rsidRPr="004C6CF5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заключения были использованы следующие документы и материалы:</w:t>
      </w:r>
    </w:p>
    <w:p w:rsidR="00CC12DB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 w:rsidR="00FB1308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«О бюджете </w:t>
      </w:r>
      <w:r w:rsidR="00FB1308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576F6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приложениями);</w:t>
      </w:r>
    </w:p>
    <w:p w:rsidR="00C036A0" w:rsidRPr="00EC42B1" w:rsidRDefault="00C036A0" w:rsidP="00C03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 «Основные направления бюджетной и налоговой политики Светлогорского сельского поселения  на 2023- 2025 годы»;</w:t>
      </w:r>
    </w:p>
    <w:p w:rsidR="00910AE7" w:rsidRPr="006A6795" w:rsidRDefault="00910AE7" w:rsidP="00910A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P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сельского поселения за истекший период текущего финансового года и ожидаемые итоги социально-экономического </w:t>
      </w:r>
      <w:r w:rsidRP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Светлогорского сельского поселения за текущий финансовый год;</w:t>
      </w:r>
    </w:p>
    <w:p w:rsidR="00CD1F1C" w:rsidRPr="00FA629E" w:rsidRDefault="00DE00BF" w:rsidP="00CD1F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CD1F1C"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Светлогорского сельского поселения Агаповского муниципального района на 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F1C"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1F1C"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C12DB" w:rsidRPr="00CD1F1C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характеристик: общий объем доходов, общий объем расходов, дефицита (профицита) бюджета </w:t>
      </w:r>
      <w:r w:rsidR="00FB1308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84E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12DB" w:rsidRPr="00CD1F1C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решения о бюджете </w:t>
      </w:r>
      <w:r w:rsidR="00FB1308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2DB" w:rsidRPr="00CD1F1C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</w:t>
      </w:r>
      <w:r w:rsidR="00BF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FB1308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01.01.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01.01.</w:t>
      </w:r>
      <w:r w:rsidR="003663D0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068A4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01.01.202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68A4"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F1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CC12DB" w:rsidRPr="00757E37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FB1308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</w:t>
      </w:r>
      <w:r w:rsidR="005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на долгосрочный период, утвержден Постановлением Администрации Светлогорского сельского поселения от 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DC3" w:rsidRDefault="00CC12DB" w:rsidP="00590D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</w:t>
      </w:r>
      <w:r w:rsidR="00FB1308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576F6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D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903" w:rsidRPr="00B56903" w:rsidRDefault="00B56903" w:rsidP="007E670A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B56903">
        <w:rPr>
          <w:sz w:val="28"/>
          <w:szCs w:val="28"/>
        </w:rPr>
        <w:t>методики (проекты методик) и расчеты распределения межбюджетных трансфертов не представлены, по причине отсутствия межбюджетных трансфертов, предоставляемых другим бюджетам;</w:t>
      </w:r>
    </w:p>
    <w:p w:rsidR="00DE00BF" w:rsidRPr="00DE00BF" w:rsidRDefault="00DE00BF" w:rsidP="00DE0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межбюджетных трансфертов, предоставляемых в соответствии с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из бюджета поселения бюджету Агаповского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DE00BF" w:rsidRPr="00BB6390" w:rsidRDefault="00DE00BF" w:rsidP="0060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  <w:r w:rsid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03" w:rsidRP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Администрации </w:t>
      </w:r>
      <w:r w:rsid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="00604703" w:rsidRP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от 2</w:t>
      </w:r>
      <w:r w:rsid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4703" w:rsidRP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.10.2022г. №</w:t>
      </w:r>
      <w:r w:rsid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04703" w:rsidRPr="0060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6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0BF" w:rsidRPr="00604703" w:rsidRDefault="00DE00BF" w:rsidP="00DE00BF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604703"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 w:rsidR="00604703">
        <w:rPr>
          <w:sz w:val="28"/>
          <w:szCs w:val="28"/>
        </w:rPr>
        <w:t xml:space="preserve"> </w:t>
      </w:r>
      <w:r w:rsidR="00604703" w:rsidRPr="00604703">
        <w:rPr>
          <w:sz w:val="28"/>
          <w:szCs w:val="28"/>
        </w:rPr>
        <w:t>(Постановление Администрации Светлогорского сельского поселения от 24.10.2022г. №50);</w:t>
      </w:r>
    </w:p>
    <w:p w:rsidR="00590DC3" w:rsidRPr="00BB6390" w:rsidRDefault="0076748C" w:rsidP="0076748C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76748C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>Светлогорс</w:t>
      </w:r>
      <w:r w:rsidRPr="0076748C">
        <w:rPr>
          <w:sz w:val="28"/>
          <w:szCs w:val="28"/>
        </w:rPr>
        <w:t>кого сельского поселения от 0</w:t>
      </w:r>
      <w:r>
        <w:rPr>
          <w:sz w:val="28"/>
          <w:szCs w:val="28"/>
        </w:rPr>
        <w:t>2</w:t>
      </w:r>
      <w:r w:rsidRPr="0076748C">
        <w:rPr>
          <w:sz w:val="28"/>
          <w:szCs w:val="28"/>
        </w:rPr>
        <w:t>.06.2022 № 5</w:t>
      </w:r>
      <w:r>
        <w:rPr>
          <w:sz w:val="28"/>
          <w:szCs w:val="28"/>
        </w:rPr>
        <w:t>8</w:t>
      </w:r>
      <w:r w:rsidRPr="0076748C">
        <w:rPr>
          <w:sz w:val="28"/>
          <w:szCs w:val="28"/>
        </w:rPr>
        <w:t xml:space="preserve"> «О внесении изменений в Решение Совета депутатов № 1</w:t>
      </w:r>
      <w:r>
        <w:rPr>
          <w:sz w:val="28"/>
          <w:szCs w:val="28"/>
        </w:rPr>
        <w:t>0</w:t>
      </w:r>
      <w:r w:rsidRPr="0076748C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76748C">
        <w:rPr>
          <w:sz w:val="28"/>
          <w:szCs w:val="28"/>
        </w:rPr>
        <w:t>.04.201</w:t>
      </w:r>
      <w:r>
        <w:rPr>
          <w:sz w:val="28"/>
          <w:szCs w:val="28"/>
        </w:rPr>
        <w:t>0</w:t>
      </w:r>
      <w:r w:rsidRPr="0076748C">
        <w:rPr>
          <w:sz w:val="28"/>
          <w:szCs w:val="28"/>
        </w:rPr>
        <w:t xml:space="preserve"> года «Об</w:t>
      </w:r>
      <w:r>
        <w:rPr>
          <w:sz w:val="28"/>
          <w:szCs w:val="28"/>
        </w:rPr>
        <w:t xml:space="preserve"> утверждении Положения «Об</w:t>
      </w:r>
      <w:r w:rsidRPr="0076748C">
        <w:rPr>
          <w:sz w:val="28"/>
          <w:szCs w:val="28"/>
        </w:rPr>
        <w:t xml:space="preserve"> оплате труда выборных должностных лиц местного самоуправления, </w:t>
      </w:r>
      <w:r>
        <w:rPr>
          <w:sz w:val="28"/>
          <w:szCs w:val="28"/>
        </w:rPr>
        <w:t>м</w:t>
      </w:r>
      <w:r w:rsidRPr="0076748C">
        <w:rPr>
          <w:sz w:val="28"/>
          <w:szCs w:val="28"/>
        </w:rPr>
        <w:t>униципальных служащих</w:t>
      </w:r>
      <w:r>
        <w:rPr>
          <w:sz w:val="28"/>
          <w:szCs w:val="28"/>
        </w:rPr>
        <w:t>, работников муниципальных предприятий учреждений Светлогорского сельского поселения»;</w:t>
      </w:r>
    </w:p>
    <w:p w:rsidR="00BB6390" w:rsidRPr="00AC6D30" w:rsidRDefault="00BB6390" w:rsidP="00BB6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Светлогорского сельского поселения от </w:t>
      </w:r>
      <w:r w:rsidR="00AC6D30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D30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6D30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37/1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«Об оплате труда работников, занимающих должности, не отнесенные к должностям муниципальной службы и осуществляющих техническое 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деятельности администрации Светлогорского сельского поселения» № 6 от 18.02.2020 г.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390" w:rsidRPr="00AC6D30" w:rsidRDefault="00BB6390" w:rsidP="00BB6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Светлогорского сельского поселения от 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работников, за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обслуживанием администрации Свет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логорского сельского поселения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1E1F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54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18.02.2020 г</w:t>
      </w:r>
      <w:r w:rsidR="0076748C"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2DB" w:rsidRPr="00757E37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</w:t>
      </w:r>
      <w:r w:rsidR="003C25EE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местного самоуправления </w:t>
      </w:r>
      <w:proofErr w:type="gramStart"/>
      <w:r w:rsidR="003C25EE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25EE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5EE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Светлогорском</w:t>
      </w:r>
      <w:proofErr w:type="gramEnd"/>
      <w:r w:rsidR="003C25EE"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57E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12DB" w:rsidRPr="004D3725" w:rsidRDefault="00CC12DB" w:rsidP="00CC12DB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4D3725">
        <w:rPr>
          <w:sz w:val="28"/>
          <w:szCs w:val="28"/>
        </w:rPr>
        <w:t xml:space="preserve">оценка ожидаемого исполнения бюджета </w:t>
      </w:r>
      <w:r w:rsidR="00FB1308" w:rsidRPr="004D3725">
        <w:rPr>
          <w:sz w:val="28"/>
          <w:szCs w:val="28"/>
        </w:rPr>
        <w:t>Светлогорск</w:t>
      </w:r>
      <w:r w:rsidRPr="004D3725">
        <w:rPr>
          <w:sz w:val="28"/>
          <w:szCs w:val="28"/>
        </w:rPr>
        <w:t xml:space="preserve">ого сельского поселения на </w:t>
      </w:r>
      <w:r w:rsidR="003663D0" w:rsidRPr="004D3725">
        <w:rPr>
          <w:sz w:val="28"/>
          <w:szCs w:val="28"/>
        </w:rPr>
        <w:t>202</w:t>
      </w:r>
      <w:r w:rsidR="004D3725" w:rsidRPr="004D3725">
        <w:rPr>
          <w:sz w:val="28"/>
          <w:szCs w:val="28"/>
        </w:rPr>
        <w:t>2</w:t>
      </w:r>
      <w:r w:rsidRPr="004D3725">
        <w:rPr>
          <w:sz w:val="28"/>
          <w:szCs w:val="28"/>
        </w:rPr>
        <w:t xml:space="preserve"> год;</w:t>
      </w:r>
    </w:p>
    <w:p w:rsidR="00CC12DB" w:rsidRPr="00677F1D" w:rsidRDefault="00CC12DB" w:rsidP="00CC1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r w:rsidR="00FB1308" w:rsidRPr="0067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67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CC12DB" w:rsidRPr="00025C34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F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E0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в соответствии </w:t>
      </w:r>
      <w:r w:rsidRPr="0046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6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25C34">
        <w:rPr>
          <w:rFonts w:ascii="Times New Roman" w:hAnsi="Times New Roman" w:cs="Times New Roman"/>
          <w:sz w:val="28"/>
          <w:szCs w:val="28"/>
        </w:rPr>
        <w:t xml:space="preserve">соглашением о передачи части полномочий по осуществлению внешнего муниципального финансового контроля </w:t>
      </w:r>
      <w:r w:rsidR="00FB1308" w:rsidRPr="00FB1308">
        <w:rPr>
          <w:rFonts w:ascii="Times New Roman" w:hAnsi="Times New Roman" w:cs="Times New Roman"/>
          <w:sz w:val="28"/>
          <w:szCs w:val="28"/>
        </w:rPr>
        <w:t xml:space="preserve">№ 72 от 26.01.2017 </w:t>
      </w:r>
      <w:r w:rsidRPr="00025C34">
        <w:rPr>
          <w:rFonts w:ascii="Times New Roman" w:hAnsi="Times New Roman" w:cs="Times New Roman"/>
          <w:sz w:val="28"/>
          <w:szCs w:val="28"/>
        </w:rPr>
        <w:t>года.</w:t>
      </w:r>
    </w:p>
    <w:p w:rsidR="00CC12DB" w:rsidRPr="00D350A4" w:rsidRDefault="00CC12DB" w:rsidP="00CC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одновременно с ним в Контрольно-счетную палату, </w:t>
      </w:r>
      <w:r w:rsidRPr="00D35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установлено.</w:t>
      </w:r>
    </w:p>
    <w:p w:rsidR="00CC12DB" w:rsidRPr="00E27D66" w:rsidRDefault="00CC12DB" w:rsidP="00CC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55754F"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754F"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</w:t>
      </w:r>
      <w:r w:rsidR="00A378B7"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в приложениях </w:t>
      </w:r>
      <w:r w:rsidR="006068A4" w:rsidRP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«Агаповский вестник».</w:t>
      </w:r>
    </w:p>
    <w:p w:rsidR="00DE00BF" w:rsidRDefault="00DE00BF" w:rsidP="00DE00BF">
      <w:pPr>
        <w:pStyle w:val="12"/>
        <w:rPr>
          <w:szCs w:val="28"/>
        </w:rPr>
      </w:pPr>
      <w:r>
        <w:rPr>
          <w:szCs w:val="28"/>
        </w:rPr>
        <w:t>С</w:t>
      </w:r>
      <w:r w:rsidRPr="00A26528">
        <w:rPr>
          <w:szCs w:val="28"/>
        </w:rPr>
        <w:t>о</w:t>
      </w:r>
      <w:r>
        <w:rPr>
          <w:szCs w:val="28"/>
        </w:rPr>
        <w:t>став</w:t>
      </w:r>
      <w:r w:rsidRPr="00A26528">
        <w:rPr>
          <w:szCs w:val="28"/>
        </w:rPr>
        <w:t xml:space="preserve"> документов</w:t>
      </w:r>
      <w:r>
        <w:rPr>
          <w:szCs w:val="28"/>
        </w:rPr>
        <w:t xml:space="preserve"> и материалов</w:t>
      </w:r>
      <w:r w:rsidRPr="00A26528">
        <w:rPr>
          <w:szCs w:val="28"/>
        </w:rPr>
        <w:t xml:space="preserve">, представленных одновременно с Проектом </w:t>
      </w:r>
      <w:r>
        <w:rPr>
          <w:szCs w:val="28"/>
        </w:rPr>
        <w:t>бюджета</w:t>
      </w:r>
      <w:r w:rsidRPr="00A26528">
        <w:rPr>
          <w:szCs w:val="28"/>
        </w:rPr>
        <w:t>, соответству</w:t>
      </w:r>
      <w:r>
        <w:rPr>
          <w:szCs w:val="28"/>
        </w:rPr>
        <w:t>е</w:t>
      </w:r>
      <w:r w:rsidRPr="00A26528">
        <w:rPr>
          <w:szCs w:val="28"/>
        </w:rPr>
        <w:t>т переч</w:t>
      </w:r>
      <w:r>
        <w:rPr>
          <w:szCs w:val="28"/>
        </w:rPr>
        <w:t>ню, установленному</w:t>
      </w:r>
      <w:r w:rsidRPr="00A26528">
        <w:rPr>
          <w:szCs w:val="28"/>
        </w:rPr>
        <w:t xml:space="preserve"> стать</w:t>
      </w:r>
      <w:r>
        <w:rPr>
          <w:szCs w:val="28"/>
        </w:rPr>
        <w:t>ями 184.1,</w:t>
      </w:r>
      <w:r w:rsidRPr="00A26528">
        <w:rPr>
          <w:szCs w:val="28"/>
        </w:rPr>
        <w:t xml:space="preserve"> 184.2 БК РФ и стать</w:t>
      </w:r>
      <w:r>
        <w:rPr>
          <w:szCs w:val="28"/>
        </w:rPr>
        <w:t xml:space="preserve">ями </w:t>
      </w:r>
      <w:r w:rsidR="00910AE7">
        <w:rPr>
          <w:szCs w:val="28"/>
        </w:rPr>
        <w:t>43</w:t>
      </w:r>
      <w:r>
        <w:rPr>
          <w:szCs w:val="28"/>
        </w:rPr>
        <w:t xml:space="preserve"> и</w:t>
      </w:r>
      <w:r w:rsidRPr="008A180B">
        <w:rPr>
          <w:szCs w:val="28"/>
        </w:rPr>
        <w:t xml:space="preserve"> </w:t>
      </w:r>
      <w:r w:rsidR="00910AE7">
        <w:rPr>
          <w:szCs w:val="28"/>
        </w:rPr>
        <w:t>45</w:t>
      </w:r>
      <w:r w:rsidRPr="008A180B">
        <w:rPr>
          <w:szCs w:val="28"/>
        </w:rPr>
        <w:t xml:space="preserve"> Положения «О  бюджетном процессе </w:t>
      </w:r>
      <w:proofErr w:type="gramStart"/>
      <w:r w:rsidRPr="008A180B">
        <w:rPr>
          <w:szCs w:val="28"/>
        </w:rPr>
        <w:t>в</w:t>
      </w:r>
      <w:proofErr w:type="gramEnd"/>
      <w:r w:rsidRPr="008A180B">
        <w:rPr>
          <w:szCs w:val="28"/>
        </w:rPr>
        <w:t xml:space="preserve"> </w:t>
      </w:r>
      <w:proofErr w:type="gramStart"/>
      <w:r w:rsidR="004145DE">
        <w:rPr>
          <w:szCs w:val="28"/>
        </w:rPr>
        <w:t>Светлогорском</w:t>
      </w:r>
      <w:proofErr w:type="gramEnd"/>
      <w:r w:rsidRPr="008A180B">
        <w:rPr>
          <w:szCs w:val="28"/>
        </w:rPr>
        <w:t xml:space="preserve"> сельском поселении».</w:t>
      </w:r>
    </w:p>
    <w:p w:rsidR="00DE00BF" w:rsidRDefault="00DE00BF" w:rsidP="00DE00BF">
      <w:pPr>
        <w:pStyle w:val="12"/>
        <w:rPr>
          <w:szCs w:val="28"/>
        </w:rPr>
      </w:pPr>
      <w:r w:rsidRPr="00D06FC8">
        <w:rPr>
          <w:szCs w:val="28"/>
        </w:rPr>
        <w:t>Представленный Проект бюджета составлен сроком на три года (на очередной</w:t>
      </w:r>
      <w:r>
        <w:rPr>
          <w:szCs w:val="28"/>
        </w:rPr>
        <w:t xml:space="preserve"> </w:t>
      </w:r>
      <w:r w:rsidRPr="00D06FC8">
        <w:rPr>
          <w:szCs w:val="28"/>
        </w:rPr>
        <w:t>финансовый год и плановый период), что соответ</w:t>
      </w:r>
      <w:r>
        <w:rPr>
          <w:szCs w:val="28"/>
        </w:rPr>
        <w:t>ствует требованиям части 4 статьи 169 БК РФ и с</w:t>
      </w:r>
      <w:r w:rsidRPr="00D06FC8">
        <w:rPr>
          <w:szCs w:val="28"/>
        </w:rPr>
        <w:t>тать</w:t>
      </w:r>
      <w:r>
        <w:rPr>
          <w:szCs w:val="28"/>
        </w:rPr>
        <w:t>е</w:t>
      </w:r>
      <w:r w:rsidRPr="00D06FC8">
        <w:rPr>
          <w:szCs w:val="28"/>
        </w:rPr>
        <w:t xml:space="preserve"> </w:t>
      </w:r>
      <w:r w:rsidR="004145DE">
        <w:rPr>
          <w:szCs w:val="28"/>
        </w:rPr>
        <w:t>33</w:t>
      </w:r>
      <w:r w:rsidRPr="00D06FC8">
        <w:rPr>
          <w:szCs w:val="28"/>
        </w:rPr>
        <w:t xml:space="preserve"> Положения </w:t>
      </w:r>
      <w:r w:rsidR="003654AC">
        <w:rPr>
          <w:szCs w:val="28"/>
        </w:rPr>
        <w:t>«О</w:t>
      </w:r>
      <w:r w:rsidRPr="00D06FC8">
        <w:rPr>
          <w:szCs w:val="28"/>
        </w:rPr>
        <w:t xml:space="preserve"> бюджетном процессе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="004145DE">
        <w:rPr>
          <w:szCs w:val="28"/>
        </w:rPr>
        <w:t>Светлогорском</w:t>
      </w:r>
      <w:proofErr w:type="gramEnd"/>
      <w:r>
        <w:rPr>
          <w:szCs w:val="28"/>
        </w:rPr>
        <w:t xml:space="preserve"> сельском поселении</w:t>
      </w:r>
      <w:r w:rsidR="003654AC">
        <w:rPr>
          <w:szCs w:val="28"/>
        </w:rPr>
        <w:t>»</w:t>
      </w:r>
      <w:r w:rsidRPr="00D06FC8">
        <w:rPr>
          <w:szCs w:val="28"/>
        </w:rPr>
        <w:t>.</w:t>
      </w:r>
    </w:p>
    <w:p w:rsidR="00CC12DB" w:rsidRPr="00064B5C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основывалось на прогноз</w:t>
      </w:r>
      <w:r w:rsidR="004145DE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F70F4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сельского поселения</w:t>
      </w:r>
      <w:r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F6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748C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70F4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6D57E9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F4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Светлогорского сельского поселения от </w:t>
      </w:r>
      <w:r w:rsidR="00064B5C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C6D30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="004145DE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64B5C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="004145DE" w:rsidRPr="0006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2DB" w:rsidRPr="0036280E" w:rsidRDefault="00CC12DB" w:rsidP="00CC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БК РФ составление Проекта основывалось также </w:t>
      </w: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12DB" w:rsidRPr="00EC42B1" w:rsidRDefault="00CC12DB" w:rsidP="00CC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659F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C6D30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F0659F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17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4F4417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бюджетной и налоговой политики </w:t>
      </w:r>
      <w:r w:rsidR="00FB1308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</w:t>
      </w:r>
      <w:r w:rsidR="003576F6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659F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4417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6F6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D0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659F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4417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6D30"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2DB" w:rsidRPr="0036280E" w:rsidRDefault="00CC12DB" w:rsidP="00CC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</w:t>
      </w:r>
      <w:r w:rsidR="006C4A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6C4A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00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2DB" w:rsidRDefault="00CC12DB" w:rsidP="00CC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0B" w:rsidRPr="0070300B" w:rsidRDefault="0070300B" w:rsidP="0070300B">
      <w:pPr>
        <w:pStyle w:val="af5"/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70300B">
        <w:rPr>
          <w:rFonts w:ascii="Times New Roman" w:hAnsi="Times New Roman" w:cs="Times New Roman"/>
          <w:color w:val="000000"/>
          <w:sz w:val="28"/>
          <w:szCs w:val="28"/>
        </w:rPr>
        <w:t>Налоговая политика на 202</w:t>
      </w:r>
      <w:r w:rsidR="00F065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300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065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300B">
        <w:rPr>
          <w:rFonts w:ascii="Times New Roman" w:hAnsi="Times New Roman" w:cs="Times New Roman"/>
          <w:color w:val="000000"/>
          <w:sz w:val="28"/>
          <w:szCs w:val="28"/>
        </w:rPr>
        <w:t xml:space="preserve"> годы отражает преемственность ранее поставленных целей и задач налоговой политики в области доходов и </w:t>
      </w:r>
      <w:r w:rsidRPr="007030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направлена на сохранение и развитие налоговой базы в сложившихся экономических условиях.</w:t>
      </w:r>
    </w:p>
    <w:p w:rsidR="00CC12DB" w:rsidRPr="0070300B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FB1308"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в текущем периоде направлена на обеспечени</w:t>
      </w:r>
      <w:r w:rsidR="00940AD3"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B3F" w:rsidRPr="0070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 экономического развития поселения на основе повышения эффективности и результативности бюджетных расходов.</w:t>
      </w:r>
    </w:p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остатков средств бюджета поселения на 1 января </w:t>
      </w:r>
      <w:r w:rsidR="003663D0" w:rsidRP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A378B7" w:rsidRP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которые направляются на покрытие временных кассовых разрывов,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ходе исполнения бюджета в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D57E9" w:rsidRPr="006D57E9" w:rsidRDefault="006D57E9" w:rsidP="006D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Светлогорского</w:t>
      </w:r>
      <w:r w:rsidRPr="006D5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1B5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5 статьи 107 </w:t>
      </w:r>
      <w:r w:rsidRPr="006D57E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установлен:</w:t>
      </w:r>
    </w:p>
    <w:p w:rsidR="006D57E9" w:rsidRPr="006D57E9" w:rsidRDefault="006D57E9" w:rsidP="006D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F0659F">
        <w:rPr>
          <w:rFonts w:ascii="Times New Roman" w:hAnsi="Times New Roman" w:cs="Times New Roman"/>
          <w:sz w:val="28"/>
          <w:szCs w:val="28"/>
        </w:rPr>
        <w:t>4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D497A">
        <w:rPr>
          <w:rFonts w:ascii="Times New Roman" w:hAnsi="Times New Roman" w:cs="Times New Roman"/>
          <w:sz w:val="28"/>
          <w:szCs w:val="28"/>
        </w:rPr>
        <w:t>6</w:t>
      </w:r>
      <w:r w:rsidR="00F0659F">
        <w:rPr>
          <w:rFonts w:ascii="Times New Roman" w:hAnsi="Times New Roman" w:cs="Times New Roman"/>
          <w:sz w:val="28"/>
          <w:szCs w:val="28"/>
        </w:rPr>
        <w:t>7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6D57E9" w:rsidRPr="006D57E9" w:rsidRDefault="006D57E9" w:rsidP="006D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E002B3">
        <w:rPr>
          <w:rFonts w:ascii="Times New Roman" w:hAnsi="Times New Roman" w:cs="Times New Roman"/>
          <w:sz w:val="28"/>
          <w:szCs w:val="28"/>
        </w:rPr>
        <w:t>5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0659F">
        <w:rPr>
          <w:rFonts w:ascii="Times New Roman" w:hAnsi="Times New Roman" w:cs="Times New Roman"/>
          <w:sz w:val="28"/>
          <w:szCs w:val="28"/>
        </w:rPr>
        <w:t>68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6D57E9" w:rsidRPr="006D57E9" w:rsidRDefault="006D57E9" w:rsidP="006D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E002B3">
        <w:rPr>
          <w:rFonts w:ascii="Times New Roman" w:hAnsi="Times New Roman" w:cs="Times New Roman"/>
          <w:sz w:val="28"/>
          <w:szCs w:val="28"/>
        </w:rPr>
        <w:t>6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D497A">
        <w:rPr>
          <w:rFonts w:ascii="Times New Roman" w:hAnsi="Times New Roman" w:cs="Times New Roman"/>
          <w:sz w:val="28"/>
          <w:szCs w:val="28"/>
        </w:rPr>
        <w:t>7</w:t>
      </w:r>
      <w:r w:rsidR="00F0659F">
        <w:rPr>
          <w:rFonts w:ascii="Times New Roman" w:hAnsi="Times New Roman" w:cs="Times New Roman"/>
          <w:sz w:val="28"/>
          <w:szCs w:val="28"/>
        </w:rPr>
        <w:t>6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6D57E9" w:rsidRPr="006D57E9" w:rsidRDefault="006D57E9" w:rsidP="006D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установлен на 202</w:t>
      </w:r>
      <w:r w:rsidR="00F0659F">
        <w:rPr>
          <w:rFonts w:ascii="Times New Roman" w:hAnsi="Times New Roman" w:cs="Times New Roman"/>
          <w:sz w:val="28"/>
          <w:szCs w:val="28"/>
        </w:rPr>
        <w:t>3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</w:t>
      </w:r>
      <w:r w:rsidR="00F0659F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F0659F">
        <w:rPr>
          <w:rFonts w:ascii="Times New Roman" w:hAnsi="Times New Roman" w:cs="Times New Roman"/>
          <w:sz w:val="28"/>
          <w:szCs w:val="28"/>
        </w:rPr>
        <w:t>5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2B7FD4" w:rsidRDefault="006D57E9" w:rsidP="006D5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Приложений № 4, № 5</w:t>
      </w:r>
      <w:r w:rsidRPr="006D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 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предусмотрено предоставление муниципальных гарантий, внутренних и внешних заимствований.</w:t>
      </w:r>
    </w:p>
    <w:p w:rsidR="002B7FD4" w:rsidRPr="002B7FD4" w:rsidRDefault="002B7FD4" w:rsidP="002B7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184.1 БК РФ «Общий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</w:t>
      </w:r>
      <w:proofErr w:type="gramEnd"/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назначение)».</w:t>
      </w:r>
    </w:p>
    <w:p w:rsidR="002B7FD4" w:rsidRPr="002B7FD4" w:rsidRDefault="002B7FD4" w:rsidP="002B7F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условно утверждённых расходов</w:t>
      </w:r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в Проекте, установлен на 202</w:t>
      </w:r>
      <w:r w:rsidR="00F0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B6144A"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B6144A"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руб., на 202</w:t>
      </w:r>
      <w:r w:rsidR="00F065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объеме 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44A"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6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соответствует требованиям части 3 </w:t>
      </w:r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184.1 БК РФ.</w:t>
      </w:r>
    </w:p>
    <w:p w:rsidR="00900206" w:rsidRDefault="00CC12DB" w:rsidP="00900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сформированы по программному принципу. Всего в бюджете </w:t>
      </w:r>
      <w:r w:rsidR="00F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</w:t>
      </w:r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на плановый период 2024-2025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06" w:rsidRPr="0060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</w:t>
      </w:r>
      <w:r w:rsidR="005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Светлогорского сельского поселения от 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включает в себя 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:rsidR="00900206" w:rsidRPr="00D84BD8" w:rsidRDefault="00900206" w:rsidP="00900206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D84BD8">
        <w:rPr>
          <w:sz w:val="28"/>
          <w:szCs w:val="28"/>
        </w:rPr>
        <w:lastRenderedPageBreak/>
        <w:t xml:space="preserve">Муниципальное управление </w:t>
      </w:r>
      <w:proofErr w:type="gramStart"/>
      <w:r w:rsidRPr="00D84BD8">
        <w:rPr>
          <w:sz w:val="28"/>
          <w:szCs w:val="28"/>
        </w:rPr>
        <w:t>в</w:t>
      </w:r>
      <w:proofErr w:type="gramEnd"/>
      <w:r w:rsidRPr="00D84B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Светлогорском</w:t>
      </w:r>
      <w:proofErr w:type="gramEnd"/>
      <w:r w:rsidRPr="00D84BD8">
        <w:rPr>
          <w:sz w:val="28"/>
          <w:szCs w:val="28"/>
        </w:rPr>
        <w:t xml:space="preserve"> сельском поселении</w:t>
      </w:r>
      <w:r w:rsidR="005E06C7">
        <w:rPr>
          <w:sz w:val="28"/>
          <w:szCs w:val="28"/>
        </w:rPr>
        <w:t xml:space="preserve"> Агаповского муниципального района</w:t>
      </w:r>
      <w:r w:rsidRPr="00D84BD8">
        <w:rPr>
          <w:sz w:val="28"/>
          <w:szCs w:val="28"/>
        </w:rPr>
        <w:t>;</w:t>
      </w:r>
    </w:p>
    <w:p w:rsidR="00900206" w:rsidRDefault="00900206" w:rsidP="00900206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D84BD8">
        <w:rPr>
          <w:sz w:val="28"/>
          <w:szCs w:val="28"/>
        </w:rPr>
        <w:t>Бытовое обслуживание населения, содержание и безопасность территори</w:t>
      </w:r>
      <w:r w:rsidR="00371B3B">
        <w:rPr>
          <w:sz w:val="28"/>
          <w:szCs w:val="28"/>
        </w:rPr>
        <w:t>й</w:t>
      </w:r>
      <w:r w:rsidRPr="00D84BD8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Светлогорского</w:t>
      </w:r>
      <w:r w:rsidRPr="00D84BD8">
        <w:rPr>
          <w:sz w:val="28"/>
          <w:szCs w:val="28"/>
        </w:rPr>
        <w:t xml:space="preserve"> сельского поселения</w:t>
      </w:r>
      <w:r w:rsidR="005E06C7">
        <w:rPr>
          <w:sz w:val="28"/>
          <w:szCs w:val="28"/>
        </w:rPr>
        <w:t xml:space="preserve"> Агаповского муниципального района</w:t>
      </w:r>
      <w:r w:rsidRPr="00D84BD8">
        <w:rPr>
          <w:sz w:val="28"/>
          <w:szCs w:val="28"/>
        </w:rPr>
        <w:t>;</w:t>
      </w:r>
    </w:p>
    <w:p w:rsidR="00371B3B" w:rsidRPr="00D84BD8" w:rsidRDefault="00371B3B" w:rsidP="00900206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мероприятий в сфере переданных полномочий Агаповского муниципального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Светлогорском</w:t>
      </w:r>
      <w:proofErr w:type="gramEnd"/>
      <w:r>
        <w:rPr>
          <w:sz w:val="28"/>
          <w:szCs w:val="28"/>
        </w:rPr>
        <w:t xml:space="preserve"> сельском поселении;</w:t>
      </w:r>
    </w:p>
    <w:p w:rsidR="00900206" w:rsidRDefault="00900206" w:rsidP="00900206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D84BD8">
        <w:rPr>
          <w:sz w:val="28"/>
          <w:szCs w:val="28"/>
        </w:rPr>
        <w:t xml:space="preserve">Развитие культуры и массового спорта </w:t>
      </w:r>
      <w:proofErr w:type="gramStart"/>
      <w:r w:rsidRPr="00D84BD8">
        <w:rPr>
          <w:sz w:val="28"/>
          <w:szCs w:val="28"/>
        </w:rPr>
        <w:t>в</w:t>
      </w:r>
      <w:proofErr w:type="gramEnd"/>
      <w:r w:rsidRPr="00D84B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Светлогорском</w:t>
      </w:r>
      <w:proofErr w:type="gramEnd"/>
      <w:r w:rsidRPr="00D84BD8">
        <w:rPr>
          <w:sz w:val="28"/>
          <w:szCs w:val="28"/>
        </w:rPr>
        <w:t xml:space="preserve"> сельском поселении</w:t>
      </w:r>
      <w:r w:rsidR="005E06C7" w:rsidRPr="005E06C7">
        <w:rPr>
          <w:sz w:val="28"/>
          <w:szCs w:val="28"/>
        </w:rPr>
        <w:t xml:space="preserve"> </w:t>
      </w:r>
      <w:r w:rsidR="005E06C7">
        <w:rPr>
          <w:sz w:val="28"/>
          <w:szCs w:val="28"/>
        </w:rPr>
        <w:t>Агаповского муниципального района</w:t>
      </w:r>
      <w:r w:rsidRPr="00D84BD8">
        <w:rPr>
          <w:sz w:val="28"/>
          <w:szCs w:val="28"/>
        </w:rPr>
        <w:t>.</w:t>
      </w:r>
    </w:p>
    <w:p w:rsidR="00900206" w:rsidRPr="00EC42B1" w:rsidRDefault="00900206" w:rsidP="00900206">
      <w:pPr>
        <w:pStyle w:val="af8"/>
        <w:ind w:left="0" w:firstLine="709"/>
        <w:jc w:val="both"/>
        <w:rPr>
          <w:sz w:val="28"/>
          <w:szCs w:val="28"/>
        </w:rPr>
      </w:pPr>
      <w:r w:rsidRPr="00EC42B1">
        <w:rPr>
          <w:sz w:val="28"/>
          <w:szCs w:val="28"/>
        </w:rPr>
        <w:t xml:space="preserve">Проведена оценка эффективности муниципальной  программы за </w:t>
      </w:r>
      <w:r w:rsidR="003663D0" w:rsidRPr="00EC42B1">
        <w:rPr>
          <w:sz w:val="28"/>
          <w:szCs w:val="28"/>
        </w:rPr>
        <w:t>20</w:t>
      </w:r>
      <w:r w:rsidR="005E06C7" w:rsidRPr="00EC42B1">
        <w:rPr>
          <w:sz w:val="28"/>
          <w:szCs w:val="28"/>
        </w:rPr>
        <w:t>2</w:t>
      </w:r>
      <w:r w:rsidR="00371B3B" w:rsidRPr="00EC42B1">
        <w:rPr>
          <w:sz w:val="28"/>
          <w:szCs w:val="28"/>
        </w:rPr>
        <w:t>1</w:t>
      </w:r>
      <w:r w:rsidRPr="00EC42B1">
        <w:rPr>
          <w:sz w:val="28"/>
          <w:szCs w:val="28"/>
        </w:rPr>
        <w:t xml:space="preserve"> год, в соответствии с  пунктом 3 статьи 179 БК РФ.</w:t>
      </w:r>
    </w:p>
    <w:p w:rsidR="002B7FD4" w:rsidRPr="002726B6" w:rsidRDefault="002B7FD4" w:rsidP="00900206">
      <w:pPr>
        <w:pStyle w:val="af8"/>
        <w:ind w:left="0" w:firstLine="709"/>
        <w:jc w:val="both"/>
        <w:rPr>
          <w:sz w:val="28"/>
          <w:szCs w:val="28"/>
        </w:rPr>
      </w:pPr>
      <w:r w:rsidRPr="002726B6">
        <w:rPr>
          <w:sz w:val="28"/>
          <w:szCs w:val="28"/>
        </w:rPr>
        <w:t>Непрограммные направления деятельности в Проекте бюджета не предусмотрены.</w:t>
      </w:r>
      <w:r w:rsidR="00371B3B">
        <w:rPr>
          <w:sz w:val="28"/>
          <w:szCs w:val="28"/>
        </w:rPr>
        <w:t xml:space="preserve"> О</w:t>
      </w:r>
      <w:r w:rsidR="002726B6" w:rsidRPr="002726B6">
        <w:rPr>
          <w:sz w:val="28"/>
          <w:szCs w:val="28"/>
        </w:rPr>
        <w:t>бщий объем бюджетных ассигнований на исполнение публичных нормативных обязательств утвержден на 202</w:t>
      </w:r>
      <w:r w:rsidR="00371B3B">
        <w:rPr>
          <w:sz w:val="28"/>
          <w:szCs w:val="28"/>
        </w:rPr>
        <w:t>3</w:t>
      </w:r>
      <w:r w:rsidR="002726B6" w:rsidRPr="002726B6">
        <w:rPr>
          <w:sz w:val="28"/>
          <w:szCs w:val="28"/>
        </w:rPr>
        <w:t xml:space="preserve"> год в сумме 0,00 тыс. рублей, на 20</w:t>
      </w:r>
      <w:r w:rsidR="00B43077">
        <w:rPr>
          <w:sz w:val="28"/>
          <w:szCs w:val="28"/>
        </w:rPr>
        <w:t>2</w:t>
      </w:r>
      <w:r w:rsidR="00371B3B">
        <w:rPr>
          <w:sz w:val="28"/>
          <w:szCs w:val="28"/>
        </w:rPr>
        <w:t>4</w:t>
      </w:r>
      <w:r w:rsidR="00B43077">
        <w:rPr>
          <w:sz w:val="28"/>
          <w:szCs w:val="28"/>
        </w:rPr>
        <w:t xml:space="preserve"> год в сумме 0,00 тыс. рублей, на</w:t>
      </w:r>
      <w:r w:rsidR="002726B6" w:rsidRPr="002726B6">
        <w:rPr>
          <w:sz w:val="28"/>
          <w:szCs w:val="28"/>
        </w:rPr>
        <w:t xml:space="preserve"> 202</w:t>
      </w:r>
      <w:r w:rsidR="00371B3B">
        <w:rPr>
          <w:sz w:val="28"/>
          <w:szCs w:val="28"/>
        </w:rPr>
        <w:t>5</w:t>
      </w:r>
      <w:r w:rsidR="002726B6" w:rsidRPr="002726B6">
        <w:rPr>
          <w:sz w:val="28"/>
          <w:szCs w:val="28"/>
        </w:rPr>
        <w:t xml:space="preserve"> год в сумме 0,00 тыс. рублей</w:t>
      </w:r>
      <w:r w:rsidR="000C3E2B">
        <w:rPr>
          <w:sz w:val="28"/>
          <w:szCs w:val="28"/>
        </w:rPr>
        <w:t xml:space="preserve"> (статья 4 Проекта бюджета).</w:t>
      </w:r>
    </w:p>
    <w:p w:rsidR="007103F0" w:rsidRPr="007103F0" w:rsidRDefault="007103F0" w:rsidP="007103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бюджету Агаповского муниципального района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3-2025гг. не запланированы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2DB" w:rsidRPr="00950A14" w:rsidRDefault="00CC12DB" w:rsidP="00950A14">
      <w:pPr>
        <w:pStyle w:val="af8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950A14">
        <w:rPr>
          <w:b/>
          <w:bCs/>
          <w:sz w:val="28"/>
          <w:szCs w:val="28"/>
        </w:rPr>
        <w:t>Д</w:t>
      </w:r>
      <w:r w:rsidR="00950A14">
        <w:rPr>
          <w:b/>
          <w:bCs/>
          <w:sz w:val="28"/>
          <w:szCs w:val="28"/>
        </w:rPr>
        <w:t>оходы бюджета Светлогорского сельского поселения.</w:t>
      </w:r>
    </w:p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 w:rsidR="00AB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1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в сумме </w:t>
      </w:r>
      <w:r w:rsidR="005A1DA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DA7">
        <w:rPr>
          <w:rFonts w:ascii="Times New Roman" w:eastAsia="Times New Roman" w:hAnsi="Times New Roman" w:cs="Times New Roman"/>
          <w:sz w:val="28"/>
          <w:szCs w:val="28"/>
          <w:lang w:eastAsia="ru-RU"/>
        </w:rPr>
        <w:t>549,67</w:t>
      </w:r>
      <w:r w:rsid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на</w:t>
      </w:r>
      <w:r w:rsidR="00B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8 133,27</w:t>
      </w:r>
      <w:r w:rsidR="00B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30,48</w:t>
      </w:r>
      <w:r w:rsidRPr="00DE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Проекта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(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26 682,94</w:t>
      </w:r>
      <w:r w:rsidR="005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собственные доходы составили в </w:t>
      </w:r>
      <w:r w:rsidRPr="000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D7235" w:rsidRPr="000077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 357,</w:t>
      </w:r>
      <w:r w:rsidR="001D7235" w:rsidRPr="0000777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безвозмездные поступления от других бюджетов бюджетной системы РФ в сумме 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17 192,67</w:t>
      </w:r>
      <w:r w:rsidR="005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3628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CC12DB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5C21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00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 по доходам в сумме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5 816,55</w:t>
      </w:r>
      <w:r w:rsidR="00C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5 549,42</w:t>
      </w:r>
      <w:r w:rsidR="005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соответственно.</w:t>
      </w:r>
    </w:p>
    <w:p w:rsidR="006D57E9" w:rsidRPr="006D57E9" w:rsidRDefault="006D57E9" w:rsidP="006D5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бюджета по доходам на 202</w:t>
      </w:r>
      <w:r w:rsidR="0092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92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2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производилось </w:t>
      </w:r>
      <w:proofErr w:type="gramStart"/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нормативов</w:t>
      </w:r>
      <w:proofErr w:type="gramEnd"/>
      <w:r w:rsidRPr="006D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отчислений собственных налоговых и неналоговых  доходов.</w:t>
      </w:r>
    </w:p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Проекта бюджета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сравнении с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6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имеет следующий вид:</w:t>
      </w:r>
    </w:p>
    <w:p w:rsidR="00CC12DB" w:rsidRPr="0036280E" w:rsidRDefault="0055754F" w:rsidP="00CC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BEED0" wp14:editId="4F3575EE">
            <wp:extent cx="6124575" cy="2714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026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</w:t>
      </w:r>
      <w:r w:rsidR="009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</w:t>
      </w:r>
      <w:r w:rsidR="005D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значительной мере сформированы за счет </w:t>
      </w:r>
      <w:r w:rsidR="00097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17 192,67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котор</w:t>
      </w:r>
      <w:r w:rsidR="005462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92,68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Собственные доходы в </w:t>
      </w:r>
      <w:r w:rsidR="009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бюджета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61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 357,00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в доходах бюджета составляет –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7,32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5026" w:rsidRDefault="000B5026" w:rsidP="000B5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доходам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36280E" w:rsidRPr="0066395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налоговые доходы </w:t>
      </w:r>
      <w:r w:rsidR="00C43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</w:t>
      </w:r>
      <w:r w:rsidR="00C43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9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85E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111,97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 уровня </w:t>
      </w:r>
      <w:r w:rsidR="009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составили </w:t>
      </w:r>
      <w:r w:rsidR="0019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2615D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6280E" w:rsidRPr="0066395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99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 w:rsidR="00C439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12,65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6395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 318,00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26,95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6395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 485,30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 </w:t>
      </w:r>
      <w:r w:rsidR="009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75260" w:rsidRPr="00E75260" w:rsidRDefault="00E75260" w:rsidP="00E7526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36280E" w:rsidRPr="00CF61B9" w:rsidRDefault="0036280E" w:rsidP="003628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1276"/>
        <w:gridCol w:w="1134"/>
        <w:gridCol w:w="1134"/>
        <w:gridCol w:w="1134"/>
      </w:tblGrid>
      <w:tr w:rsidR="00FA527E" w:rsidRPr="00FA527E" w:rsidTr="00FA527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27E" w:rsidRPr="00FA527E" w:rsidRDefault="00FA527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27E" w:rsidRPr="00FA527E" w:rsidRDefault="00FA527E" w:rsidP="00F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  <w:p w:rsidR="00FA527E" w:rsidRPr="00FA527E" w:rsidRDefault="00FA527E" w:rsidP="006C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7AC" w:rsidRDefault="008037AC" w:rsidP="00F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  <w:p w:rsidR="00FA527E" w:rsidRPr="00FA527E" w:rsidRDefault="006C54EE" w:rsidP="00F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2023</w:t>
            </w:r>
            <w:r w:rsidR="00FA527E"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527E" w:rsidRPr="00FA527E" w:rsidRDefault="00FA527E" w:rsidP="00F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  <w:p w:rsidR="00FA527E" w:rsidRPr="00FA527E" w:rsidRDefault="00FA527E" w:rsidP="006C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527E" w:rsidRPr="00FA527E" w:rsidRDefault="00FA527E" w:rsidP="00F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  <w:p w:rsidR="00FA527E" w:rsidRPr="00FA527E" w:rsidRDefault="00FA527E" w:rsidP="006C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527E" w:rsidRPr="00FA527E" w:rsidRDefault="00FA527E" w:rsidP="006C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г.% от 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527E" w:rsidRPr="00FA527E" w:rsidRDefault="00FA527E" w:rsidP="006C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 % от 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27E" w:rsidRPr="00FA527E" w:rsidRDefault="00FA527E" w:rsidP="006C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. % от 202</w:t>
            </w:r>
            <w:r w:rsidR="006C5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</w:t>
            </w:r>
          </w:p>
        </w:tc>
      </w:tr>
      <w:tr w:rsidR="006C54EE" w:rsidRPr="00FA527E" w:rsidTr="00D43C02">
        <w:trPr>
          <w:trHeight w:val="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1 248,00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1 532,30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108,73%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109,38%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122,78%</w:t>
            </w:r>
          </w:p>
        </w:tc>
      </w:tr>
      <w:tr w:rsidR="006C54EE" w:rsidRPr="006C54E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Н</w:t>
            </w:r>
            <w:r w:rsidRPr="00FA5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1 485,30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111,97%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112,65%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126,95%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118,28%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126,88%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123,98%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278,69%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112,78%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112,78%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112,78%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120,00%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120,00%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120,00%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60,26%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60,26%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60,26%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60,26%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60,26%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</w:rPr>
            </w:pPr>
            <w:r w:rsidRPr="006C54EE">
              <w:rPr>
                <w:rFonts w:ascii="Times New Roman" w:hAnsi="Times New Roman" w:cs="Times New Roman"/>
              </w:rPr>
              <w:t>60,26%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25 434,94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17 192,67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4 451,55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4 017,12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67,59%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17,50%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4EE">
              <w:rPr>
                <w:rFonts w:ascii="Times New Roman" w:hAnsi="Times New Roman" w:cs="Times New Roman"/>
                <w:b/>
                <w:i/>
              </w:rPr>
              <w:t>15,79%</w:t>
            </w:r>
          </w:p>
        </w:tc>
      </w:tr>
      <w:tr w:rsidR="006C54EE" w:rsidRPr="00FA527E" w:rsidTr="00D43C02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FA527E" w:rsidRDefault="006C54EE" w:rsidP="00FA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A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26 682,94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18 549,67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5 816,55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5 549,42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69,52%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21,80%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54EE" w:rsidRPr="006C54EE" w:rsidRDefault="006C54EE" w:rsidP="006C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4EE">
              <w:rPr>
                <w:rFonts w:ascii="Times New Roman" w:hAnsi="Times New Roman" w:cs="Times New Roman"/>
                <w:b/>
              </w:rPr>
              <w:t>20,80%</w:t>
            </w:r>
          </w:p>
        </w:tc>
      </w:tr>
    </w:tbl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следует, что 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5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5E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налоговым доходам увеличены </w:t>
      </w:r>
      <w:r w:rsid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доходы физических лиц</w:t>
      </w:r>
      <w:r w:rsidR="00E75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имущество,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7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уменьшены по налогам на совокупный доход </w:t>
      </w:r>
      <w:r w:rsidR="007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0B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бюджета на 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1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по 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 ежегодно, уменьшились по сравнению с Проектом бюджета на 2022 год на 31,00 тыс. рублей или на 39,74 %.</w:t>
      </w:r>
    </w:p>
    <w:p w:rsidR="008037AC" w:rsidRPr="008037AC" w:rsidRDefault="008037AC" w:rsidP="0080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Проекте бюджета на 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25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составляют основную часть</w:t>
      </w:r>
      <w:r w:rsid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уменьшаться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2,41% или на 8 242,27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составят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17 192,67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477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,68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доходов); в 202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202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уменьшаться по сравнению с 2022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82,50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(на 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20 866,39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и на 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84,21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gramStart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4C">
        <w:rPr>
          <w:rFonts w:ascii="Times New Roman" w:eastAsia="Times New Roman" w:hAnsi="Times New Roman" w:cs="Times New Roman"/>
          <w:sz w:val="28"/>
          <w:szCs w:val="28"/>
          <w:lang w:eastAsia="ru-RU"/>
        </w:rPr>
        <w:t>21 133,52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соответственно.</w:t>
      </w:r>
    </w:p>
    <w:p w:rsidR="004E74E9" w:rsidRDefault="009C6207" w:rsidP="004E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 w:rsidR="00E7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260" w:rsidRPr="00E75260" w:rsidRDefault="00E75260" w:rsidP="00E752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4E74E9" w:rsidRPr="001B19C3" w:rsidRDefault="004E74E9" w:rsidP="004E7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5799"/>
        <w:gridCol w:w="1041"/>
        <w:gridCol w:w="980"/>
        <w:gridCol w:w="980"/>
      </w:tblGrid>
      <w:tr w:rsidR="00DA4781" w:rsidRPr="00DA4781" w:rsidTr="005A1DA7">
        <w:trPr>
          <w:trHeight w:val="60"/>
        </w:trPr>
        <w:tc>
          <w:tcPr>
            <w:tcW w:w="5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781" w:rsidRPr="00DA4781" w:rsidRDefault="00DA4781" w:rsidP="00DA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Наименование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81" w:rsidRPr="00DA4781" w:rsidRDefault="00DA4781" w:rsidP="0074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742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81" w:rsidRPr="00DA4781" w:rsidRDefault="00DA4781" w:rsidP="0074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742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781" w:rsidRPr="00DA4781" w:rsidRDefault="00DA4781" w:rsidP="0074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742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</w:tr>
      <w:tr w:rsidR="009E22D2" w:rsidRPr="00DA4781" w:rsidTr="005A1DA7">
        <w:trPr>
          <w:trHeight w:val="7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2" w:rsidRPr="00DA4781" w:rsidRDefault="009E22D2" w:rsidP="00DA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Дотация на 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2506,40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2402,20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1950,50</w:t>
            </w:r>
          </w:p>
        </w:tc>
      </w:tr>
      <w:tr w:rsidR="009E22D2" w:rsidRPr="00DA4781" w:rsidTr="005A1DA7">
        <w:trPr>
          <w:trHeight w:val="600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2" w:rsidRPr="00DA4781" w:rsidRDefault="009E22D2" w:rsidP="00DA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Субвенции на выполнение передаваемых полномочий субъектов РФ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180,32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185,73</w:t>
            </w:r>
          </w:p>
        </w:tc>
      </w:tr>
      <w:tr w:rsidR="009E22D2" w:rsidRPr="00DA4781" w:rsidTr="005A1DA7">
        <w:trPr>
          <w:trHeight w:val="446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2" w:rsidRPr="00DA4781" w:rsidRDefault="009E22D2" w:rsidP="00DA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321,10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335,63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347,49</w:t>
            </w:r>
          </w:p>
        </w:tc>
      </w:tr>
      <w:tr w:rsidR="009E22D2" w:rsidRPr="00DA4781" w:rsidTr="005A1DA7">
        <w:trPr>
          <w:trHeight w:val="84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2" w:rsidRPr="00DA4781" w:rsidRDefault="009E22D2" w:rsidP="00DA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1503,75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0,00</w:t>
            </w:r>
          </w:p>
        </w:tc>
      </w:tr>
      <w:tr w:rsidR="009E22D2" w:rsidRPr="00DA4781" w:rsidTr="005A1DA7">
        <w:trPr>
          <w:trHeight w:val="84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2D2" w:rsidRPr="00DA4781" w:rsidRDefault="009E22D2" w:rsidP="000C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12686,35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1533,40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2D2" w:rsidRPr="009E22D2" w:rsidRDefault="009E22D2" w:rsidP="009E22D2">
            <w:pPr>
              <w:jc w:val="center"/>
              <w:rPr>
                <w:rFonts w:ascii="Times New Roman" w:hAnsi="Times New Roman" w:cs="Times New Roman"/>
              </w:rPr>
            </w:pPr>
            <w:r w:rsidRPr="009E22D2">
              <w:rPr>
                <w:rFonts w:ascii="Times New Roman" w:hAnsi="Times New Roman" w:cs="Times New Roman"/>
              </w:rPr>
              <w:t>0,00</w:t>
            </w:r>
          </w:p>
        </w:tc>
      </w:tr>
      <w:tr w:rsidR="005A1DA7" w:rsidRPr="00DA4781" w:rsidTr="00235B82">
        <w:trPr>
          <w:trHeight w:val="77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7" w:rsidRPr="00DA4781" w:rsidRDefault="005A1DA7" w:rsidP="00DA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A4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DA7" w:rsidRPr="005A1DA7" w:rsidRDefault="005A1DA7" w:rsidP="00D43C02">
            <w:pPr>
              <w:rPr>
                <w:rFonts w:ascii="Times New Roman" w:hAnsi="Times New Roman" w:cs="Times New Roman"/>
                <w:b/>
              </w:rPr>
            </w:pPr>
            <w:r w:rsidRPr="005A1DA7">
              <w:rPr>
                <w:rFonts w:ascii="Times New Roman" w:hAnsi="Times New Roman" w:cs="Times New Roman"/>
                <w:b/>
              </w:rPr>
              <w:t>17192,67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DA7" w:rsidRPr="005A1DA7" w:rsidRDefault="005A1DA7" w:rsidP="00D43C02">
            <w:pPr>
              <w:rPr>
                <w:rFonts w:ascii="Times New Roman" w:hAnsi="Times New Roman" w:cs="Times New Roman"/>
                <w:b/>
              </w:rPr>
            </w:pPr>
            <w:r w:rsidRPr="005A1DA7">
              <w:rPr>
                <w:rFonts w:ascii="Times New Roman" w:hAnsi="Times New Roman" w:cs="Times New Roman"/>
                <w:b/>
              </w:rPr>
              <w:t>4451,55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DA7" w:rsidRPr="005A1DA7" w:rsidRDefault="005A1DA7" w:rsidP="00D43C02">
            <w:pPr>
              <w:rPr>
                <w:rFonts w:ascii="Times New Roman" w:hAnsi="Times New Roman" w:cs="Times New Roman"/>
                <w:b/>
              </w:rPr>
            </w:pPr>
            <w:r w:rsidRPr="005A1DA7">
              <w:rPr>
                <w:rFonts w:ascii="Times New Roman" w:hAnsi="Times New Roman" w:cs="Times New Roman"/>
                <w:b/>
              </w:rPr>
              <w:t>2483,72</w:t>
            </w:r>
          </w:p>
        </w:tc>
      </w:tr>
    </w:tbl>
    <w:p w:rsidR="000C3E2B" w:rsidRDefault="000C3E2B" w:rsidP="00CC12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2DB" w:rsidRPr="00FE0A30" w:rsidRDefault="00CC12DB" w:rsidP="00FE0A30">
      <w:pPr>
        <w:pStyle w:val="af8"/>
        <w:keepNext/>
        <w:numPr>
          <w:ilvl w:val="0"/>
          <w:numId w:val="34"/>
        </w:numPr>
        <w:jc w:val="center"/>
        <w:outlineLvl w:val="1"/>
        <w:rPr>
          <w:b/>
          <w:bCs/>
          <w:sz w:val="28"/>
          <w:szCs w:val="28"/>
        </w:rPr>
      </w:pPr>
      <w:r w:rsidRPr="00FE0A30">
        <w:rPr>
          <w:b/>
          <w:bCs/>
          <w:sz w:val="28"/>
          <w:szCs w:val="28"/>
        </w:rPr>
        <w:t>Р</w:t>
      </w:r>
      <w:r w:rsidR="00FE0A30">
        <w:rPr>
          <w:b/>
          <w:bCs/>
          <w:sz w:val="28"/>
          <w:szCs w:val="28"/>
        </w:rPr>
        <w:t>асходы бюджета Светлогорского сельского поселения.</w:t>
      </w:r>
    </w:p>
    <w:p w:rsidR="00CC12DB" w:rsidRPr="0036280E" w:rsidRDefault="00CC12DB" w:rsidP="00CC1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Расходы, отраженные в Проекте </w:t>
      </w:r>
      <w:r w:rsidR="00DA4781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</w:t>
      </w:r>
      <w:r w:rsidR="00DA47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одекса Р</w:t>
      </w:r>
      <w:r w:rsidR="00DA478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A478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C12DB" w:rsidRPr="0036280E" w:rsidRDefault="00CC12DB" w:rsidP="00CC1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80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179 Бюджетного </w:t>
      </w:r>
      <w:r w:rsidR="00DA4781">
        <w:rPr>
          <w:rFonts w:ascii="Times New Roman" w:hAnsi="Times New Roman" w:cs="Times New Roman"/>
          <w:sz w:val="28"/>
          <w:szCs w:val="28"/>
        </w:rPr>
        <w:t>к</w:t>
      </w:r>
      <w:r w:rsidRPr="0036280E">
        <w:rPr>
          <w:rFonts w:ascii="Times New Roman" w:hAnsi="Times New Roman" w:cs="Times New Roman"/>
          <w:sz w:val="28"/>
          <w:szCs w:val="28"/>
        </w:rPr>
        <w:t>одекса Р</w:t>
      </w:r>
      <w:r w:rsidR="00DA47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6280E">
        <w:rPr>
          <w:rFonts w:ascii="Times New Roman" w:hAnsi="Times New Roman" w:cs="Times New Roman"/>
          <w:sz w:val="28"/>
          <w:szCs w:val="28"/>
        </w:rPr>
        <w:t>Ф</w:t>
      </w:r>
      <w:r w:rsidR="00DA4781">
        <w:rPr>
          <w:rFonts w:ascii="Times New Roman" w:hAnsi="Times New Roman" w:cs="Times New Roman"/>
          <w:sz w:val="28"/>
          <w:szCs w:val="28"/>
        </w:rPr>
        <w:t>едерации</w:t>
      </w:r>
      <w:r w:rsidRPr="0036280E">
        <w:rPr>
          <w:rFonts w:ascii="Times New Roman" w:hAnsi="Times New Roman" w:cs="Times New Roman"/>
          <w:sz w:val="28"/>
          <w:szCs w:val="28"/>
        </w:rPr>
        <w:t>, Проектом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781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6280E">
        <w:rPr>
          <w:rFonts w:ascii="Times New Roman" w:hAnsi="Times New Roman" w:cs="Times New Roman"/>
          <w:sz w:val="28"/>
          <w:szCs w:val="28"/>
        </w:rPr>
        <w:t xml:space="preserve"> предусмотрено утверждение объема бюджетных ассигнований на финансовое обеспечение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280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="003C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</w:t>
      </w:r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80E">
        <w:rPr>
          <w:rFonts w:ascii="Times New Roman" w:hAnsi="Times New Roman" w:cs="Times New Roman"/>
          <w:sz w:val="28"/>
          <w:szCs w:val="28"/>
        </w:rPr>
        <w:t>.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2DB" w:rsidRPr="0036280E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бюджета, определены приоритеты бюджетных расходов, </w:t>
      </w:r>
      <w:proofErr w:type="gramStart"/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End"/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r w:rsidR="00FB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274B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</w:t>
      </w:r>
      <w:r w:rsidR="000B1C92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</w:t>
      </w:r>
      <w:r w:rsidR="00FB1308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4F4417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2023-</w:t>
      </w:r>
      <w:r w:rsidR="00715F19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D0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44D1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4417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направлены на </w:t>
      </w:r>
      <w:r w:rsidR="00715F19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715F19" w:rsidRP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бюджетных расходов, для обеспечения всех</w:t>
      </w:r>
      <w:r w:rsidR="0071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установленных нормативными актами поселения.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2DB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</w:t>
      </w:r>
      <w:r w:rsidR="00AD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4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 запланированы  в  сумме         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18 549,67</w:t>
      </w:r>
      <w:r w:rsidR="0071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8 133,27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AD4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0,48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D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расходов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C12DB" w:rsidRDefault="00CC12DB" w:rsidP="00CC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</w:t>
      </w:r>
      <w:r w:rsidR="000F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классификации расходов бюджет</w:t>
      </w:r>
      <w:r w:rsidR="00AE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сравнению с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Pr="00D3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таблице</w:t>
      </w:r>
      <w:r w:rsidR="0027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3:</w:t>
      </w:r>
    </w:p>
    <w:p w:rsidR="00274B6F" w:rsidRDefault="00274B6F" w:rsidP="00274B6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p w:rsidR="00D33FF2" w:rsidRPr="00D33FF2" w:rsidRDefault="00D33FF2" w:rsidP="00274B6F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134"/>
        <w:gridCol w:w="1134"/>
        <w:gridCol w:w="1134"/>
        <w:gridCol w:w="1134"/>
        <w:gridCol w:w="1134"/>
        <w:gridCol w:w="1134"/>
      </w:tblGrid>
      <w:tr w:rsidR="00235720" w:rsidRPr="00235720" w:rsidTr="002357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0" w:rsidRPr="000B5026" w:rsidRDefault="00235720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Раздел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20" w:rsidRPr="000B5026" w:rsidRDefault="00235720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Наименование</w:t>
            </w:r>
          </w:p>
          <w:p w:rsidR="00235720" w:rsidRPr="000B5026" w:rsidRDefault="00235720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год % к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год% к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20" w:rsidRPr="000B5026" w:rsidRDefault="00235720" w:rsidP="002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год % к 202</w:t>
            </w:r>
            <w:r w:rsidR="00245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</w:tr>
      <w:tr w:rsidR="002457E5" w:rsidRPr="00235720" w:rsidTr="00D43C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3 369,15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3 811,91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3 634,20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3 231,80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113,14%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107,87%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95,92%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272,18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117,97%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123,31%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127,67%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1 071,35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1 533,40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1 533,40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1 533,40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143,13%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143,13%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143,13%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1 316,68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1 503,75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114,21%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10 868,98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425,99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3,92%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9 614,61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10 778,45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112,10%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0,00%</w:t>
            </w:r>
          </w:p>
        </w:tc>
      </w:tr>
      <w:tr w:rsidR="002457E5" w:rsidRPr="00235720" w:rsidTr="00D43C0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102,99%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106,08%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109,26%</w:t>
            </w:r>
          </w:p>
        </w:tc>
      </w:tr>
      <w:tr w:rsidR="002457E5" w:rsidRPr="00235720" w:rsidTr="002457E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A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 w:rsidRPr="002457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7E5" w:rsidRPr="00235720" w:rsidTr="00235B82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E5" w:rsidRPr="000B5026" w:rsidRDefault="002457E5" w:rsidP="0023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0B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26 682,94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18 549,67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5 683,55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5 298,42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69,52%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21,30%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7E5" w:rsidRPr="002457E5" w:rsidRDefault="002457E5" w:rsidP="0024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E5">
              <w:rPr>
                <w:rFonts w:ascii="Times New Roman" w:hAnsi="Times New Roman" w:cs="Times New Roman"/>
                <w:b/>
              </w:rPr>
              <w:t>19,86%</w:t>
            </w:r>
          </w:p>
        </w:tc>
      </w:tr>
    </w:tbl>
    <w:p w:rsidR="00D43C02" w:rsidRDefault="0036280E" w:rsidP="00814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1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14540"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структуры расходов  видно, что основную долю расходов на 202</w:t>
      </w:r>
      <w:r w:rsidR="00245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4540"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составляют расходы по разделу 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08 «Культура, кинематография» (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58,11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«Общегосударственные в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опросы» (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разделу 03 «Национальная безопасность и правоохранительная деятельность» (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8,26%),</w:t>
      </w:r>
      <w:r w:rsidR="00D43C02" w:rsidRPr="00D43C02">
        <w:t xml:space="preserve"> 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экономика» (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8,11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C4E0A" w:rsidRDefault="00CC12DB" w:rsidP="004C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Наименьшую долю расходов 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на 202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расходы 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05 «Жилищно-коммунальное хозяйство» (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2,30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02</w:t>
      </w:r>
      <w:r w:rsidR="0086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2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D43C02" w:rsidRP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10 «Социальная политика» (0,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94%).</w:t>
      </w:r>
    </w:p>
    <w:p w:rsidR="004C4E0A" w:rsidRPr="004C4E0A" w:rsidRDefault="004C4E0A" w:rsidP="004C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сравнительного анализа расходов Проекта бюджета на 202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расходами Проекта бюджета на 202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классификации расходов бюджет</w:t>
      </w:r>
      <w:r w:rsidR="009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увеличение составили расходы по разделам:</w:t>
      </w:r>
    </w:p>
    <w:p w:rsid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 w:rsidR="00D43C02">
        <w:rPr>
          <w:rFonts w:ascii="Times New Roman" w:eastAsia="Times New Roman" w:hAnsi="Times New Roman" w:cs="Times New Roman"/>
          <w:sz w:val="28"/>
          <w:szCs w:val="28"/>
          <w:lang w:eastAsia="ru-RU"/>
        </w:rPr>
        <w:t>113,14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«Национальная оборона» - 1</w:t>
      </w:r>
      <w:r w:rsidR="00D4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17,97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43C02" w:rsidRPr="00D43C02" w:rsidRDefault="00D43C02" w:rsidP="00D43C02">
      <w:pPr>
        <w:pStyle w:val="af8"/>
        <w:numPr>
          <w:ilvl w:val="0"/>
          <w:numId w:val="29"/>
        </w:numPr>
        <w:rPr>
          <w:color w:val="000000"/>
          <w:sz w:val="28"/>
          <w:szCs w:val="28"/>
        </w:rPr>
      </w:pPr>
      <w:r w:rsidRPr="00D43C02">
        <w:rPr>
          <w:color w:val="000000"/>
          <w:sz w:val="28"/>
          <w:szCs w:val="28"/>
        </w:rPr>
        <w:t xml:space="preserve">«Национальная безопасность и правоохранительная деятельность» - </w:t>
      </w:r>
      <w:r>
        <w:rPr>
          <w:color w:val="000000"/>
          <w:sz w:val="28"/>
          <w:szCs w:val="28"/>
        </w:rPr>
        <w:t>1</w:t>
      </w:r>
      <w:r w:rsidR="00B40876">
        <w:rPr>
          <w:color w:val="000000"/>
          <w:sz w:val="28"/>
          <w:szCs w:val="28"/>
        </w:rPr>
        <w:t>43,13</w:t>
      </w:r>
      <w:r w:rsidRPr="00D43C02">
        <w:rPr>
          <w:color w:val="000000"/>
          <w:sz w:val="28"/>
          <w:szCs w:val="28"/>
        </w:rPr>
        <w:t>%.</w:t>
      </w:r>
    </w:p>
    <w:p w:rsidR="004C4E0A" w:rsidRP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- 1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14,21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«Культура, кинематография» - 1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12,10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C4E0A" w:rsidRP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2,99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C4E0A" w:rsidRPr="004C4E0A" w:rsidRDefault="004C4E0A" w:rsidP="004C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произошло по следующим разделам:</w:t>
      </w:r>
    </w:p>
    <w:p w:rsidR="004C4E0A" w:rsidRPr="004C4E0A" w:rsidRDefault="004C4E0A" w:rsidP="004C4E0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«Жилищно-коммунальное хозяйство» - 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96,08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C4E0A" w:rsidRDefault="004C4E0A" w:rsidP="004C4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</w:t>
      </w:r>
      <w:r w:rsidR="00AE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культура и спорт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расходы в Проекте бюджета на 202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не предусмотрены.</w:t>
      </w:r>
    </w:p>
    <w:p w:rsidR="002B6987" w:rsidRPr="004C4E0A" w:rsidRDefault="002B6987" w:rsidP="004C4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бюджета в 202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 предусмотрены расходы п</w:t>
      </w:r>
      <w:r w:rsidR="0098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разделам «Национальная экономика»,</w:t>
      </w:r>
      <w:r w:rsidR="00B40876" w:rsidRPr="00B40876">
        <w:t xml:space="preserve"> </w:t>
      </w:r>
      <w:r w:rsidR="00B40876" w:rsidRP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</w:t>
      </w:r>
      <w:r w:rsidR="00AE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кинематография». </w:t>
      </w:r>
    </w:p>
    <w:p w:rsidR="00CC12DB" w:rsidRPr="0036280E" w:rsidRDefault="00CC12DB" w:rsidP="00CC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ab/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составляет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 w:rsidR="00D36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графия», «Социальная политика»  сумму 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10 953,52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59,05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всей расходной части бюджета (увеличение по сравнению с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1 168,92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DD7D98" w:rsidRPr="00AC6D30" w:rsidRDefault="001F348E" w:rsidP="00DD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проведения экспертизы Проекта бюджета на 202</w:t>
      </w:r>
      <w:r w:rsidR="00B408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348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408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F348E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  <w:r>
        <w:rPr>
          <w:color w:val="000000"/>
          <w:sz w:val="28"/>
          <w:szCs w:val="28"/>
        </w:rPr>
        <w:t xml:space="preserve"> </w:t>
      </w:r>
      <w:r w:rsidR="00CC12DB" w:rsidRPr="0036280E">
        <w:rPr>
          <w:rFonts w:ascii="Times New Roman" w:hAnsi="Times New Roman" w:cs="Times New Roman"/>
          <w:sz w:val="28"/>
          <w:szCs w:val="28"/>
        </w:rPr>
        <w:t>представлен</w:t>
      </w:r>
      <w:r w:rsidR="00CC12DB">
        <w:rPr>
          <w:rFonts w:ascii="Times New Roman" w:hAnsi="Times New Roman" w:cs="Times New Roman"/>
          <w:color w:val="000000"/>
          <w:sz w:val="28"/>
          <w:szCs w:val="28"/>
        </w:rPr>
        <w:t xml:space="preserve"> паспорт</w:t>
      </w:r>
      <w:r w:rsidR="00CC12DB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программы</w:t>
      </w:r>
      <w:r w:rsidR="00CC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2DB" w:rsidRPr="002944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</w:t>
      </w:r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3C25EE" w:rsidRPr="006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408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E12A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BA2306" w:rsidRPr="00AC6D30">
        <w:rPr>
          <w:rFonts w:ascii="Times New Roman" w:hAnsi="Times New Roman" w:cs="Times New Roman"/>
          <w:sz w:val="28"/>
          <w:szCs w:val="28"/>
        </w:rPr>
        <w:t xml:space="preserve">Сумма расходов, указанная в паспорте </w:t>
      </w:r>
      <w:r w:rsidR="00DD7D98" w:rsidRPr="00AC6D30">
        <w:rPr>
          <w:rFonts w:ascii="Times New Roman" w:hAnsi="Times New Roman" w:cs="Times New Roman"/>
          <w:sz w:val="28"/>
          <w:szCs w:val="28"/>
        </w:rPr>
        <w:t>программ</w:t>
      </w:r>
      <w:r w:rsidR="00BA2306" w:rsidRPr="00AC6D30">
        <w:rPr>
          <w:rFonts w:ascii="Times New Roman" w:hAnsi="Times New Roman" w:cs="Times New Roman"/>
          <w:sz w:val="28"/>
          <w:szCs w:val="28"/>
        </w:rPr>
        <w:t>ы</w:t>
      </w:r>
      <w:r w:rsidR="00AC6D30" w:rsidRPr="00AC6D30">
        <w:rPr>
          <w:rFonts w:ascii="Times New Roman" w:hAnsi="Times New Roman" w:cs="Times New Roman"/>
          <w:sz w:val="28"/>
          <w:szCs w:val="28"/>
        </w:rPr>
        <w:t xml:space="preserve"> </w:t>
      </w:r>
      <w:r w:rsidR="00DD7D98" w:rsidRPr="00AC6D3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C6D30">
        <w:rPr>
          <w:rFonts w:ascii="Times New Roman" w:hAnsi="Times New Roman" w:cs="Times New Roman"/>
          <w:sz w:val="28"/>
          <w:szCs w:val="28"/>
        </w:rPr>
        <w:t>П</w:t>
      </w:r>
      <w:r w:rsidR="00DD7D98" w:rsidRPr="00AC6D30">
        <w:rPr>
          <w:rFonts w:ascii="Times New Roman" w:hAnsi="Times New Roman" w:cs="Times New Roman"/>
          <w:sz w:val="28"/>
          <w:szCs w:val="28"/>
        </w:rPr>
        <w:t>роекту бюджет</w:t>
      </w:r>
      <w:r w:rsidRPr="00AC6D30">
        <w:rPr>
          <w:rFonts w:ascii="Times New Roman" w:hAnsi="Times New Roman" w:cs="Times New Roman"/>
          <w:sz w:val="28"/>
          <w:szCs w:val="28"/>
        </w:rPr>
        <w:t>а на 202</w:t>
      </w:r>
      <w:r w:rsidR="00313596" w:rsidRPr="00AC6D30">
        <w:rPr>
          <w:rFonts w:ascii="Times New Roman" w:hAnsi="Times New Roman" w:cs="Times New Roman"/>
          <w:sz w:val="28"/>
          <w:szCs w:val="28"/>
        </w:rPr>
        <w:t>3</w:t>
      </w:r>
      <w:r w:rsidRPr="00AC6D30">
        <w:rPr>
          <w:rFonts w:ascii="Times New Roman" w:hAnsi="Times New Roman" w:cs="Times New Roman"/>
          <w:sz w:val="28"/>
          <w:szCs w:val="28"/>
        </w:rPr>
        <w:t>-202</w:t>
      </w:r>
      <w:r w:rsidR="00313596" w:rsidRPr="00AC6D30">
        <w:rPr>
          <w:rFonts w:ascii="Times New Roman" w:hAnsi="Times New Roman" w:cs="Times New Roman"/>
          <w:sz w:val="28"/>
          <w:szCs w:val="28"/>
        </w:rPr>
        <w:t>5</w:t>
      </w:r>
      <w:r w:rsidRPr="00AC6D30">
        <w:rPr>
          <w:rFonts w:ascii="Times New Roman" w:hAnsi="Times New Roman" w:cs="Times New Roman"/>
          <w:sz w:val="28"/>
          <w:szCs w:val="28"/>
        </w:rPr>
        <w:t xml:space="preserve"> гг</w:t>
      </w:r>
      <w:r w:rsidR="00DD7D98" w:rsidRPr="00AC6D30">
        <w:rPr>
          <w:rFonts w:ascii="Times New Roman" w:hAnsi="Times New Roman" w:cs="Times New Roman"/>
          <w:sz w:val="28"/>
          <w:szCs w:val="28"/>
        </w:rPr>
        <w:t>.</w:t>
      </w:r>
    </w:p>
    <w:p w:rsidR="001F348E" w:rsidRPr="001F348E" w:rsidRDefault="001F348E" w:rsidP="001F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Проекта бюджета был проведен сравнительный анализ </w:t>
      </w:r>
      <w:proofErr w:type="gramStart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E8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предусмотренных в Проектах бюджета на 202</w:t>
      </w:r>
      <w:r w:rsidR="00307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7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Данные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234" w:rsidRPr="00D6439A" w:rsidRDefault="00833234" w:rsidP="008332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36280E" w:rsidRPr="00BF605D" w:rsidRDefault="0036280E" w:rsidP="0036280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F605D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Style w:val="41"/>
        <w:tblW w:w="9606" w:type="dxa"/>
        <w:tblLook w:val="04A0" w:firstRow="1" w:lastRow="0" w:firstColumn="1" w:lastColumn="0" w:noHBand="0" w:noVBand="1"/>
      </w:tblPr>
      <w:tblGrid>
        <w:gridCol w:w="960"/>
        <w:gridCol w:w="3780"/>
        <w:gridCol w:w="1600"/>
        <w:gridCol w:w="1600"/>
        <w:gridCol w:w="1666"/>
      </w:tblGrid>
      <w:tr w:rsidR="008C41BC" w:rsidRPr="008C41BC" w:rsidTr="00390250">
        <w:trPr>
          <w:trHeight w:val="630"/>
        </w:trPr>
        <w:tc>
          <w:tcPr>
            <w:tcW w:w="960" w:type="dxa"/>
            <w:hideMark/>
          </w:tcPr>
          <w:p w:rsidR="008C41BC" w:rsidRPr="008C41BC" w:rsidRDefault="008C41BC" w:rsidP="008C41BC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3780" w:type="dxa"/>
            <w:hideMark/>
          </w:tcPr>
          <w:p w:rsidR="008C41BC" w:rsidRPr="008C41BC" w:rsidRDefault="008C41BC" w:rsidP="008C41BC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hideMark/>
          </w:tcPr>
          <w:p w:rsidR="008C41BC" w:rsidRPr="008C41BC" w:rsidRDefault="008C41BC" w:rsidP="003072FA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Сумма, тыс. руб. </w:t>
            </w:r>
            <w:r w:rsidR="003663D0">
              <w:rPr>
                <w:rFonts w:ascii="Times New Roman" w:hAnsi="Times New Roman" w:cs="Times New Roman"/>
                <w:b/>
                <w:bCs/>
              </w:rPr>
              <w:t>202</w:t>
            </w:r>
            <w:r w:rsidR="003072FA">
              <w:rPr>
                <w:rFonts w:ascii="Times New Roman" w:hAnsi="Times New Roman" w:cs="Times New Roman"/>
                <w:b/>
                <w:bCs/>
              </w:rPr>
              <w:t>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600" w:type="dxa"/>
            <w:hideMark/>
          </w:tcPr>
          <w:p w:rsidR="008C41BC" w:rsidRPr="008C41BC" w:rsidRDefault="008C41BC" w:rsidP="003072FA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 Сумма, тыс. руб. </w:t>
            </w:r>
            <w:r w:rsidR="003663D0">
              <w:rPr>
                <w:rFonts w:ascii="Times New Roman" w:hAnsi="Times New Roman" w:cs="Times New Roman"/>
                <w:b/>
                <w:bCs/>
              </w:rPr>
              <w:t>202</w:t>
            </w:r>
            <w:r w:rsidR="003072FA">
              <w:rPr>
                <w:rFonts w:ascii="Times New Roman" w:hAnsi="Times New Roman" w:cs="Times New Roman"/>
                <w:b/>
                <w:bCs/>
              </w:rPr>
              <w:t>3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</w:p>
        </w:tc>
        <w:tc>
          <w:tcPr>
            <w:tcW w:w="1666" w:type="dxa"/>
            <w:hideMark/>
          </w:tcPr>
          <w:p w:rsidR="008C41BC" w:rsidRPr="008C41BC" w:rsidRDefault="008C41BC" w:rsidP="003072FA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% к </w:t>
            </w:r>
            <w:r w:rsidR="003663D0">
              <w:rPr>
                <w:rFonts w:ascii="Times New Roman" w:hAnsi="Times New Roman" w:cs="Times New Roman"/>
                <w:b/>
                <w:bCs/>
              </w:rPr>
              <w:t>202</w:t>
            </w:r>
            <w:r w:rsidR="003072FA">
              <w:rPr>
                <w:rFonts w:ascii="Times New Roman" w:hAnsi="Times New Roman" w:cs="Times New Roman"/>
                <w:b/>
                <w:bCs/>
              </w:rPr>
              <w:t>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AC6D30" w:rsidRPr="008C41BC" w:rsidTr="004F0B48">
        <w:trPr>
          <w:trHeight w:val="379"/>
        </w:trPr>
        <w:tc>
          <w:tcPr>
            <w:tcW w:w="96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</w:rPr>
            </w:pPr>
            <w:r w:rsidRPr="001936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8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  <w:bCs/>
              </w:rPr>
            </w:pPr>
            <w:r w:rsidRPr="0019365E">
              <w:rPr>
                <w:rFonts w:ascii="Times New Roman" w:hAnsi="Times New Roman" w:cs="Times New Roman"/>
                <w:bCs/>
              </w:rPr>
              <w:t>Администрация Светлогорского сельского поселения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2 736,80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3 708,83</w:t>
            </w:r>
          </w:p>
        </w:tc>
        <w:tc>
          <w:tcPr>
            <w:tcW w:w="1666" w:type="dxa"/>
            <w:noWrap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135,52%</w:t>
            </w:r>
          </w:p>
        </w:tc>
      </w:tr>
      <w:tr w:rsidR="00AC6D30" w:rsidRPr="008C41BC" w:rsidTr="004F0B48">
        <w:trPr>
          <w:trHeight w:val="159"/>
        </w:trPr>
        <w:tc>
          <w:tcPr>
            <w:tcW w:w="96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</w:rPr>
            </w:pPr>
            <w:r w:rsidRPr="001936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8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  <w:bCs/>
              </w:rPr>
            </w:pPr>
            <w:r w:rsidRPr="0019365E">
              <w:rPr>
                <w:rFonts w:ascii="Times New Roman" w:hAnsi="Times New Roman" w:cs="Times New Roman"/>
                <w:bCs/>
              </w:rPr>
              <w:t>ВУС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244,35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306,92</w:t>
            </w:r>
          </w:p>
        </w:tc>
        <w:tc>
          <w:tcPr>
            <w:tcW w:w="1666" w:type="dxa"/>
            <w:noWrap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125,61%</w:t>
            </w:r>
          </w:p>
        </w:tc>
      </w:tr>
      <w:tr w:rsidR="00AC6D30" w:rsidRPr="008C41BC" w:rsidTr="004F0B48">
        <w:trPr>
          <w:trHeight w:val="178"/>
        </w:trPr>
        <w:tc>
          <w:tcPr>
            <w:tcW w:w="96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</w:rPr>
            </w:pPr>
            <w:r w:rsidRPr="001936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8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  <w:bCs/>
              </w:rPr>
            </w:pPr>
            <w:r w:rsidRPr="0019365E">
              <w:rPr>
                <w:rFonts w:ascii="Times New Roman" w:hAnsi="Times New Roman" w:cs="Times New Roman"/>
                <w:bCs/>
              </w:rPr>
              <w:t>МУК Светлогорская ЦКС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7 443,60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8 826,03</w:t>
            </w:r>
          </w:p>
        </w:tc>
        <w:tc>
          <w:tcPr>
            <w:tcW w:w="1666" w:type="dxa"/>
            <w:noWrap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</w:rPr>
            </w:pPr>
            <w:r w:rsidRPr="00AC6D30">
              <w:rPr>
                <w:rFonts w:ascii="Times New Roman" w:hAnsi="Times New Roman" w:cs="Times New Roman"/>
              </w:rPr>
              <w:t>118,57%</w:t>
            </w:r>
          </w:p>
        </w:tc>
      </w:tr>
      <w:tr w:rsidR="00AC6D30" w:rsidRPr="008C41BC" w:rsidTr="004F0B48">
        <w:trPr>
          <w:trHeight w:val="70"/>
        </w:trPr>
        <w:tc>
          <w:tcPr>
            <w:tcW w:w="960" w:type="dxa"/>
            <w:hideMark/>
          </w:tcPr>
          <w:p w:rsidR="00AC6D30" w:rsidRPr="0019365E" w:rsidRDefault="00AC6D30" w:rsidP="008C41BC">
            <w:pPr>
              <w:rPr>
                <w:rFonts w:ascii="Times New Roman" w:hAnsi="Times New Roman" w:cs="Times New Roman"/>
              </w:rPr>
            </w:pPr>
            <w:r w:rsidRPr="00193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0" w:type="dxa"/>
            <w:hideMark/>
          </w:tcPr>
          <w:p w:rsidR="00AC6D30" w:rsidRPr="0019365E" w:rsidRDefault="00AC6D30" w:rsidP="00FD5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65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D30">
              <w:rPr>
                <w:rFonts w:ascii="Times New Roman" w:hAnsi="Times New Roman" w:cs="Times New Roman"/>
                <w:b/>
              </w:rPr>
              <w:t>10 424,75</w:t>
            </w:r>
          </w:p>
        </w:tc>
        <w:tc>
          <w:tcPr>
            <w:tcW w:w="1600" w:type="dxa"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D30">
              <w:rPr>
                <w:rFonts w:ascii="Times New Roman" w:hAnsi="Times New Roman" w:cs="Times New Roman"/>
                <w:b/>
              </w:rPr>
              <w:t>12 841,78</w:t>
            </w:r>
          </w:p>
        </w:tc>
        <w:tc>
          <w:tcPr>
            <w:tcW w:w="1666" w:type="dxa"/>
            <w:noWrap/>
          </w:tcPr>
          <w:p w:rsidR="00AC6D30" w:rsidRPr="00AC6D30" w:rsidRDefault="00AC6D30" w:rsidP="00AC6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D30">
              <w:rPr>
                <w:rFonts w:ascii="Times New Roman" w:hAnsi="Times New Roman" w:cs="Times New Roman"/>
                <w:b/>
              </w:rPr>
              <w:t>123,19%</w:t>
            </w:r>
          </w:p>
        </w:tc>
      </w:tr>
    </w:tbl>
    <w:p w:rsidR="008C41BC" w:rsidRPr="0036280E" w:rsidRDefault="008C41BC" w:rsidP="0036280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8E" w:rsidRPr="001F348E" w:rsidRDefault="001F348E" w:rsidP="001F3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показателей таблицы следует, что увеличение фонда оплаты труда произошло в связи с повышением оплаты труда в 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прогнозируемым повышением оплаты труда в 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7E12A2" w:rsidRDefault="007E12A2" w:rsidP="007E1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EB21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работников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2 841,78</w:t>
      </w:r>
      <w:r w:rsidRPr="001F3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69,23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расходов</w:t>
      </w:r>
      <w:r w:rsidR="001F348E"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F348E"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F348E"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6E13" w:rsidRDefault="00686E13" w:rsidP="0068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представленным расчетам</w:t>
      </w:r>
      <w:r w:rsidR="00BD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запланированные поселением и утвержденные по сметам расходы на </w:t>
      </w:r>
      <w:r w:rsidR="0036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E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таблице</w:t>
      </w:r>
      <w:r w:rsidR="0083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6C7" w:rsidRPr="00BD20AE" w:rsidRDefault="00833234" w:rsidP="0083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</w:t>
      </w:r>
    </w:p>
    <w:p w:rsidR="00686E13" w:rsidRDefault="00686E13" w:rsidP="0068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8F9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p w:rsidR="00BD20AE" w:rsidRDefault="00BD20AE" w:rsidP="0068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62"/>
        <w:gridCol w:w="2958"/>
        <w:gridCol w:w="1960"/>
        <w:gridCol w:w="1448"/>
        <w:gridCol w:w="2126"/>
      </w:tblGrid>
      <w:tr w:rsidR="00BD20AE" w:rsidRPr="00BD20AE" w:rsidTr="00BD20AE">
        <w:trPr>
          <w:trHeight w:val="7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AE" w:rsidRPr="00BD20AE" w:rsidRDefault="00BD20AE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№</w:t>
            </w:r>
            <w:r w:rsidRPr="00BD20A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подстатьи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AE" w:rsidRPr="00B53481" w:rsidRDefault="00BD20AE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lang w:eastAsia="ja-JP"/>
              </w:rPr>
              <w:t>Наименование 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AE" w:rsidRPr="00B53481" w:rsidRDefault="00BD20AE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lang w:eastAsia="ja-JP"/>
              </w:rPr>
              <w:t>Исчислено поселением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AE" w:rsidRPr="00B53481" w:rsidRDefault="00BD20AE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lang w:eastAsia="ja-JP"/>
              </w:rPr>
              <w:t>Утверждено по смете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AE" w:rsidRPr="00B53481" w:rsidRDefault="00BD20AE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lang w:eastAsia="ja-JP"/>
              </w:rPr>
              <w:t xml:space="preserve">Процент от </w:t>
            </w:r>
            <w:proofErr w:type="gramStart"/>
            <w:r w:rsidRPr="00B53481">
              <w:rPr>
                <w:rFonts w:ascii="Times New Roman" w:eastAsia="Times New Roman" w:hAnsi="Times New Roman" w:cs="Times New Roman"/>
                <w:lang w:eastAsia="ja-JP"/>
              </w:rPr>
              <w:t>исчисленного</w:t>
            </w:r>
            <w:proofErr w:type="gramEnd"/>
          </w:p>
        </w:tc>
      </w:tr>
      <w:tr w:rsidR="00B53481" w:rsidRPr="00BD20AE" w:rsidTr="00181C38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D20AE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BD2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53481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Оплата труда и начисления на оплату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A10104" w:rsidP="0019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12 841,78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A10104" w:rsidP="0019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100,00%</w:t>
            </w:r>
          </w:p>
        </w:tc>
      </w:tr>
      <w:tr w:rsidR="00B53481" w:rsidRPr="00BD20AE" w:rsidTr="00181C38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D20AE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BD2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53481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Коммунальные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2 481,49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2 481,49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100,00%</w:t>
            </w:r>
          </w:p>
        </w:tc>
      </w:tr>
      <w:tr w:rsidR="00B53481" w:rsidRPr="00BD20AE" w:rsidTr="00181C38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D20AE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BD2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B53481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B53481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Услуги связи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B53481" w:rsidRDefault="00B53481" w:rsidP="00194814">
            <w:pPr>
              <w:rPr>
                <w:rFonts w:ascii="Times New Roman" w:hAnsi="Times New Roman" w:cs="Times New Roman"/>
              </w:rPr>
            </w:pPr>
            <w:r w:rsidRPr="00B53481">
              <w:rPr>
                <w:rFonts w:ascii="Times New Roman" w:hAnsi="Times New Roman" w:cs="Times New Roman"/>
              </w:rPr>
              <w:t>0,00%</w:t>
            </w:r>
          </w:p>
        </w:tc>
      </w:tr>
      <w:tr w:rsidR="00B53481" w:rsidRPr="00BD20AE" w:rsidTr="00181C38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A10104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A1010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81" w:rsidRPr="00A10104" w:rsidRDefault="00B53481" w:rsidP="00BD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A1010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A10104" w:rsidRDefault="00B53481" w:rsidP="00194814">
            <w:pPr>
              <w:rPr>
                <w:rFonts w:ascii="Times New Roman" w:hAnsi="Times New Roman" w:cs="Times New Roman"/>
              </w:rPr>
            </w:pPr>
            <w:r w:rsidRPr="00A10104">
              <w:rPr>
                <w:rFonts w:ascii="Times New Roman" w:hAnsi="Times New Roman" w:cs="Times New Roman"/>
              </w:rPr>
              <w:t>2 965,20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A10104" w:rsidRDefault="00A10104" w:rsidP="00194814">
            <w:pPr>
              <w:rPr>
                <w:rFonts w:ascii="Times New Roman" w:hAnsi="Times New Roman" w:cs="Times New Roman"/>
              </w:rPr>
            </w:pPr>
            <w:r w:rsidRPr="00A101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81" w:rsidRPr="00A10104" w:rsidRDefault="00A10104" w:rsidP="00A10104">
            <w:pPr>
              <w:rPr>
                <w:rFonts w:ascii="Times New Roman" w:hAnsi="Times New Roman" w:cs="Times New Roman"/>
              </w:rPr>
            </w:pPr>
            <w:r w:rsidRPr="00A10104">
              <w:rPr>
                <w:rFonts w:ascii="Times New Roman" w:hAnsi="Times New Roman" w:cs="Times New Roman"/>
              </w:rPr>
              <w:t>0,00</w:t>
            </w:r>
            <w:r w:rsidR="00B53481" w:rsidRPr="00A10104">
              <w:rPr>
                <w:rFonts w:ascii="Times New Roman" w:hAnsi="Times New Roman" w:cs="Times New Roman"/>
              </w:rPr>
              <w:t>%</w:t>
            </w:r>
          </w:p>
        </w:tc>
      </w:tr>
    </w:tbl>
    <w:p w:rsidR="004A3298" w:rsidRPr="0019365E" w:rsidRDefault="004A3298" w:rsidP="004A3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62" w:rsidRPr="00B53481" w:rsidRDefault="00E66495" w:rsidP="00E6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показателей таблицы следует</w:t>
      </w:r>
      <w:r w:rsidR="00BD20AE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расходы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и коммунальные расходы </w:t>
      </w:r>
      <w:r w:rsidR="00BD20AE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202</w:t>
      </w:r>
      <w:r w:rsidR="00B53481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20AE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BD20AE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исчисленного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связи и </w:t>
      </w:r>
      <w:r w:rsidR="00BD20AE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прочие расходы </w:t>
      </w:r>
      <w:r w:rsidR="00B53481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0,00%, 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B8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765600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765600"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сокращены таким образом, чтобы получился сбалансированный бюджет, поэтому дефицит бюджета является скрытым.</w:t>
      </w:r>
      <w:proofErr w:type="gramEnd"/>
    </w:p>
    <w:p w:rsidR="00E66495" w:rsidRPr="00E66495" w:rsidRDefault="00E66495" w:rsidP="00E6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308" w:rsidRPr="00FE0A30" w:rsidRDefault="00FB1308" w:rsidP="00FE0A30">
      <w:pPr>
        <w:pStyle w:val="af8"/>
        <w:widowControl w:val="0"/>
        <w:numPr>
          <w:ilvl w:val="0"/>
          <w:numId w:val="34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FE0A30">
        <w:rPr>
          <w:b/>
          <w:color w:val="000000"/>
          <w:sz w:val="28"/>
          <w:szCs w:val="28"/>
        </w:rPr>
        <w:lastRenderedPageBreak/>
        <w:t>Дефицит бюджета и источники его финансирования</w:t>
      </w:r>
      <w:r w:rsidR="00FE0A30">
        <w:rPr>
          <w:b/>
          <w:color w:val="000000"/>
          <w:sz w:val="28"/>
          <w:szCs w:val="28"/>
        </w:rPr>
        <w:t>.</w:t>
      </w:r>
    </w:p>
    <w:p w:rsidR="00765600" w:rsidRDefault="00765600" w:rsidP="00BB63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62" w:rsidRPr="00F62262" w:rsidRDefault="00F62262" w:rsidP="00BB63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Проекта бюджета 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обеспечиваются плановыми доходами. Бюджет запланирован </w:t>
      </w:r>
      <w:proofErr w:type="gramStart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бездефицитным</w:t>
      </w:r>
      <w:proofErr w:type="gramEnd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62262" w:rsidRPr="00F62262" w:rsidRDefault="00F62262" w:rsidP="00BB63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(Приложение №</w:t>
      </w:r>
      <w:r w:rsidR="0021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предлагается утвердить источники внутреннего финансирования дефицита бюджета </w:t>
      </w:r>
      <w:r w:rsidR="00E8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гг.: изменение остатков средств на счетах по учету средств бюджета.</w:t>
      </w:r>
    </w:p>
    <w:p w:rsidR="00F62262" w:rsidRDefault="00F62262" w:rsidP="00BB63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источник финансирования дефицита бюджета сельского поселения соответствует статье 96 Бюджетного кодекса Российской Федерации.</w:t>
      </w:r>
    </w:p>
    <w:p w:rsidR="003C25EE" w:rsidRDefault="00FB1308" w:rsidP="003A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1308" w:rsidRPr="00FE0A30" w:rsidRDefault="00FB1308" w:rsidP="00FE0A30">
      <w:pPr>
        <w:pStyle w:val="af8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FE0A30">
        <w:rPr>
          <w:b/>
          <w:sz w:val="28"/>
          <w:szCs w:val="28"/>
        </w:rPr>
        <w:t>В</w:t>
      </w:r>
      <w:r w:rsidR="00FE0A30">
        <w:rPr>
          <w:b/>
          <w:sz w:val="28"/>
          <w:szCs w:val="28"/>
        </w:rPr>
        <w:t>ыводы</w:t>
      </w:r>
      <w:r w:rsidR="00A73D30">
        <w:rPr>
          <w:b/>
          <w:sz w:val="28"/>
          <w:szCs w:val="28"/>
        </w:rPr>
        <w:t xml:space="preserve"> и замечания</w:t>
      </w:r>
      <w:r w:rsidR="00FE0A30">
        <w:rPr>
          <w:b/>
          <w:sz w:val="28"/>
          <w:szCs w:val="28"/>
        </w:rPr>
        <w:t>.</w:t>
      </w:r>
    </w:p>
    <w:p w:rsidR="00FB1308" w:rsidRPr="0036280E" w:rsidRDefault="00FB1308" w:rsidP="00FB1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08" w:rsidRDefault="00FB1308" w:rsidP="00FB1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основании вышеизложенного, Контрольно-счетная палата считает, что предложенный Проект решения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Светлогорского сельского поселения 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нормам действующего бюджетного законодательства.</w:t>
      </w:r>
    </w:p>
    <w:p w:rsidR="0036280E" w:rsidRPr="00235B82" w:rsidRDefault="00235B82" w:rsidP="00CF61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1308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62262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Светлогорского сельского поселения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262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</w:t>
      </w:r>
      <w:r w:rsidR="00FB1308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Светлогорского сельского поселения «О бюджете Светлогорского сельского поселения </w:t>
      </w:r>
      <w:r w:rsidR="003576F6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63D0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0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6F6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663D0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01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6F6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2262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0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3576F6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B1308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1B9" w:rsidRPr="00235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1C" w:rsidRDefault="004E1F1C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262" w:rsidRDefault="00F62262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6C7" w:rsidRPr="0036280E" w:rsidRDefault="003A56C7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27" w:rsidRPr="00FA3D67" w:rsidRDefault="00501527" w:rsidP="00A16E32">
      <w:pPr>
        <w:tabs>
          <w:tab w:val="left" w:pos="772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Г.К. Тихонова</w:t>
      </w:r>
    </w:p>
    <w:p w:rsidR="00501527" w:rsidRPr="00FA3D67" w:rsidRDefault="00501527" w:rsidP="00A16E32">
      <w:pPr>
        <w:spacing w:after="0" w:line="0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501527" w:rsidRPr="00FA3D67" w:rsidRDefault="00501527" w:rsidP="00A16E32">
      <w:pPr>
        <w:spacing w:after="0" w:line="0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A3D67">
        <w:rPr>
          <w:rFonts w:ascii="Times New Roman" w:eastAsia="Times New Roman" w:hAnsi="Times New Roman" w:cs="Times New Roman"/>
          <w:szCs w:val="19"/>
          <w:lang w:eastAsia="ru-RU"/>
        </w:rPr>
        <w:t>Исполнитель:</w:t>
      </w:r>
    </w:p>
    <w:p w:rsidR="00501527" w:rsidRPr="00FA3D67" w:rsidRDefault="00A16E32" w:rsidP="00A16E32">
      <w:pPr>
        <w:spacing w:after="0" w:line="0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а</w:t>
      </w:r>
      <w:r w:rsidR="00107208">
        <w:rPr>
          <w:rFonts w:ascii="Times New Roman" w:eastAsia="Times New Roman" w:hAnsi="Times New Roman" w:cs="Times New Roman"/>
          <w:szCs w:val="19"/>
          <w:lang w:eastAsia="ru-RU"/>
        </w:rPr>
        <w:t xml:space="preserve">удитор </w:t>
      </w:r>
      <w:r w:rsidR="00501527" w:rsidRPr="00FA3D67">
        <w:rPr>
          <w:rFonts w:ascii="Times New Roman" w:eastAsia="Times New Roman" w:hAnsi="Times New Roman" w:cs="Times New Roman"/>
          <w:szCs w:val="19"/>
          <w:lang w:eastAsia="ru-RU"/>
        </w:rPr>
        <w:t>Стрельникова О.В.</w:t>
      </w:r>
    </w:p>
    <w:p w:rsidR="00501527" w:rsidRPr="00FA3D67" w:rsidRDefault="00501527" w:rsidP="00501527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903569" w:rsidRDefault="00903569" w:rsidP="00D6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903569" w:rsidRDefault="00903569" w:rsidP="00D6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0A" w:rsidRPr="00D169CB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7E670A" w:rsidRPr="00D169CB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16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E670A" w:rsidRPr="00D169CB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0A" w:rsidRPr="00D169CB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0A" w:rsidRPr="00D169CB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6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3569" w:rsidRDefault="00903569" w:rsidP="00D6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0A" w:rsidRPr="007E670A" w:rsidRDefault="007E670A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0A" w:rsidRPr="007E670A" w:rsidRDefault="00C90134" w:rsidP="007E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0D7E0A" w:rsidRDefault="000D7E0A" w:rsidP="00D6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0A" w:rsidRDefault="000D7E0A" w:rsidP="00D6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0A" w:rsidRDefault="000D7E0A" w:rsidP="00D63CF0">
      <w:pPr>
        <w:spacing w:after="0" w:line="240" w:lineRule="auto"/>
        <w:jc w:val="both"/>
      </w:pPr>
    </w:p>
    <w:sectPr w:rsidR="000D7E0A" w:rsidSect="00D63CF0">
      <w:footerReference w:type="default" r:id="rId12"/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EB" w:rsidRDefault="001E3CEB" w:rsidP="0055754F">
      <w:pPr>
        <w:spacing w:after="0" w:line="240" w:lineRule="auto"/>
      </w:pPr>
      <w:r>
        <w:separator/>
      </w:r>
    </w:p>
  </w:endnote>
  <w:endnote w:type="continuationSeparator" w:id="0">
    <w:p w:rsidR="001E3CEB" w:rsidRDefault="001E3CEB" w:rsidP="0055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23262"/>
      <w:docPartObj>
        <w:docPartGallery w:val="Page Numbers (Bottom of Page)"/>
        <w:docPartUnique/>
      </w:docPartObj>
    </w:sdtPr>
    <w:sdtEndPr/>
    <w:sdtContent>
      <w:p w:rsidR="00D43C02" w:rsidRDefault="00D43C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79">
          <w:rPr>
            <w:noProof/>
          </w:rPr>
          <w:t>10</w:t>
        </w:r>
        <w:r>
          <w:fldChar w:fldCharType="end"/>
        </w:r>
      </w:p>
    </w:sdtContent>
  </w:sdt>
  <w:p w:rsidR="00D43C02" w:rsidRDefault="00D43C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EB" w:rsidRDefault="001E3CEB" w:rsidP="0055754F">
      <w:pPr>
        <w:spacing w:after="0" w:line="240" w:lineRule="auto"/>
      </w:pPr>
      <w:r>
        <w:separator/>
      </w:r>
    </w:p>
  </w:footnote>
  <w:footnote w:type="continuationSeparator" w:id="0">
    <w:p w:rsidR="001E3CEB" w:rsidRDefault="001E3CEB" w:rsidP="0055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86298"/>
    <w:multiLevelType w:val="hybridMultilevel"/>
    <w:tmpl w:val="500C3DA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2611B"/>
    <w:multiLevelType w:val="hybridMultilevel"/>
    <w:tmpl w:val="12406246"/>
    <w:lvl w:ilvl="0" w:tplc="4B26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A13FF"/>
    <w:multiLevelType w:val="hybridMultilevel"/>
    <w:tmpl w:val="C302D056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9"/>
  </w:num>
  <w:num w:numId="6">
    <w:abstractNumId w:val="2"/>
  </w:num>
  <w:num w:numId="7">
    <w:abstractNumId w:val="13"/>
  </w:num>
  <w:num w:numId="8">
    <w:abstractNumId w:val="0"/>
  </w:num>
  <w:num w:numId="9">
    <w:abstractNumId w:val="22"/>
  </w:num>
  <w:num w:numId="10">
    <w:abstractNumId w:val="29"/>
  </w:num>
  <w:num w:numId="11">
    <w:abstractNumId w:val="24"/>
  </w:num>
  <w:num w:numId="12">
    <w:abstractNumId w:val="16"/>
  </w:num>
  <w:num w:numId="13">
    <w:abstractNumId w:val="28"/>
  </w:num>
  <w:num w:numId="14">
    <w:abstractNumId w:val="12"/>
  </w:num>
  <w:num w:numId="15">
    <w:abstractNumId w:val="27"/>
  </w:num>
  <w:num w:numId="16">
    <w:abstractNumId w:val="10"/>
  </w:num>
  <w:num w:numId="17">
    <w:abstractNumId w:val="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7"/>
  </w:num>
  <w:num w:numId="22">
    <w:abstractNumId w:val="1"/>
  </w:num>
  <w:num w:numId="23">
    <w:abstractNumId w:val="9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17"/>
  </w:num>
  <w:num w:numId="29">
    <w:abstractNumId w:val="14"/>
  </w:num>
  <w:num w:numId="30">
    <w:abstractNumId w:val="26"/>
  </w:num>
  <w:num w:numId="31">
    <w:abstractNumId w:val="31"/>
  </w:num>
  <w:num w:numId="32">
    <w:abstractNumId w:val="8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007776"/>
    <w:rsid w:val="000207E6"/>
    <w:rsid w:val="00025C34"/>
    <w:rsid w:val="00064B5C"/>
    <w:rsid w:val="00064D9D"/>
    <w:rsid w:val="000769A6"/>
    <w:rsid w:val="00081503"/>
    <w:rsid w:val="00097097"/>
    <w:rsid w:val="000B1C92"/>
    <w:rsid w:val="000B3E9C"/>
    <w:rsid w:val="000B5026"/>
    <w:rsid w:val="000C3E2B"/>
    <w:rsid w:val="000C5B86"/>
    <w:rsid w:val="000D7E0A"/>
    <w:rsid w:val="000F5113"/>
    <w:rsid w:val="00107208"/>
    <w:rsid w:val="0011607C"/>
    <w:rsid w:val="00122FC5"/>
    <w:rsid w:val="00131F3C"/>
    <w:rsid w:val="00134071"/>
    <w:rsid w:val="00157506"/>
    <w:rsid w:val="00160E62"/>
    <w:rsid w:val="00191EA0"/>
    <w:rsid w:val="0019365E"/>
    <w:rsid w:val="001B19C3"/>
    <w:rsid w:val="001B6595"/>
    <w:rsid w:val="001D7235"/>
    <w:rsid w:val="001E3CEB"/>
    <w:rsid w:val="001F348E"/>
    <w:rsid w:val="00206C3E"/>
    <w:rsid w:val="00217B2C"/>
    <w:rsid w:val="00235720"/>
    <w:rsid w:val="00235B82"/>
    <w:rsid w:val="002404BE"/>
    <w:rsid w:val="002457E5"/>
    <w:rsid w:val="00260141"/>
    <w:rsid w:val="002615D2"/>
    <w:rsid w:val="002726B6"/>
    <w:rsid w:val="00274B6F"/>
    <w:rsid w:val="00281C95"/>
    <w:rsid w:val="00287C75"/>
    <w:rsid w:val="00294492"/>
    <w:rsid w:val="002A215E"/>
    <w:rsid w:val="002A497F"/>
    <w:rsid w:val="002B2619"/>
    <w:rsid w:val="002B6987"/>
    <w:rsid w:val="002B7FD4"/>
    <w:rsid w:val="002C3259"/>
    <w:rsid w:val="002D497A"/>
    <w:rsid w:val="002D68F3"/>
    <w:rsid w:val="002E2F7C"/>
    <w:rsid w:val="002F07DF"/>
    <w:rsid w:val="003072FA"/>
    <w:rsid w:val="00313596"/>
    <w:rsid w:val="003277BD"/>
    <w:rsid w:val="00335F44"/>
    <w:rsid w:val="00340F89"/>
    <w:rsid w:val="00346DE1"/>
    <w:rsid w:val="003576F6"/>
    <w:rsid w:val="0036219F"/>
    <w:rsid w:val="0036280E"/>
    <w:rsid w:val="003654AC"/>
    <w:rsid w:val="003663D0"/>
    <w:rsid w:val="00370A54"/>
    <w:rsid w:val="00371B3B"/>
    <w:rsid w:val="00386CDB"/>
    <w:rsid w:val="00387AC4"/>
    <w:rsid w:val="00390250"/>
    <w:rsid w:val="00393382"/>
    <w:rsid w:val="003A56C7"/>
    <w:rsid w:val="003A77A5"/>
    <w:rsid w:val="003C25EE"/>
    <w:rsid w:val="00403B65"/>
    <w:rsid w:val="004145DE"/>
    <w:rsid w:val="00431D06"/>
    <w:rsid w:val="00445B4E"/>
    <w:rsid w:val="00467803"/>
    <w:rsid w:val="004771CF"/>
    <w:rsid w:val="004A3298"/>
    <w:rsid w:val="004A5D0F"/>
    <w:rsid w:val="004B4EA9"/>
    <w:rsid w:val="004C4E0A"/>
    <w:rsid w:val="004C6CF5"/>
    <w:rsid w:val="004D3725"/>
    <w:rsid w:val="004E1F1C"/>
    <w:rsid w:val="004E74E9"/>
    <w:rsid w:val="004F1C0C"/>
    <w:rsid w:val="004F4417"/>
    <w:rsid w:val="00501527"/>
    <w:rsid w:val="00503C7E"/>
    <w:rsid w:val="00507852"/>
    <w:rsid w:val="00515F38"/>
    <w:rsid w:val="005161C0"/>
    <w:rsid w:val="00531969"/>
    <w:rsid w:val="0054629A"/>
    <w:rsid w:val="00546E80"/>
    <w:rsid w:val="0055305B"/>
    <w:rsid w:val="0055754F"/>
    <w:rsid w:val="0058308B"/>
    <w:rsid w:val="00585253"/>
    <w:rsid w:val="00590DC3"/>
    <w:rsid w:val="005A1DA7"/>
    <w:rsid w:val="005C21ED"/>
    <w:rsid w:val="005D2173"/>
    <w:rsid w:val="005E06C7"/>
    <w:rsid w:val="005F4C8C"/>
    <w:rsid w:val="005F7A65"/>
    <w:rsid w:val="00604703"/>
    <w:rsid w:val="006068A4"/>
    <w:rsid w:val="00607A51"/>
    <w:rsid w:val="00616567"/>
    <w:rsid w:val="00636923"/>
    <w:rsid w:val="00636F40"/>
    <w:rsid w:val="00641FF4"/>
    <w:rsid w:val="00655619"/>
    <w:rsid w:val="0066395E"/>
    <w:rsid w:val="006651B5"/>
    <w:rsid w:val="00677F1D"/>
    <w:rsid w:val="00680616"/>
    <w:rsid w:val="00684EC4"/>
    <w:rsid w:val="00686E13"/>
    <w:rsid w:val="00697901"/>
    <w:rsid w:val="006A000F"/>
    <w:rsid w:val="006A6795"/>
    <w:rsid w:val="006C4ACE"/>
    <w:rsid w:val="006C54EE"/>
    <w:rsid w:val="006D3F7E"/>
    <w:rsid w:val="006D57E9"/>
    <w:rsid w:val="006E1013"/>
    <w:rsid w:val="00702D0A"/>
    <w:rsid w:val="0070300B"/>
    <w:rsid w:val="007103F0"/>
    <w:rsid w:val="00712FC6"/>
    <w:rsid w:val="00715F19"/>
    <w:rsid w:val="00716D68"/>
    <w:rsid w:val="007359BC"/>
    <w:rsid w:val="0074274C"/>
    <w:rsid w:val="0074301B"/>
    <w:rsid w:val="00753CD0"/>
    <w:rsid w:val="007548E1"/>
    <w:rsid w:val="00757E37"/>
    <w:rsid w:val="00764583"/>
    <w:rsid w:val="00765600"/>
    <w:rsid w:val="00767242"/>
    <w:rsid w:val="0076748C"/>
    <w:rsid w:val="0077060F"/>
    <w:rsid w:val="00772F10"/>
    <w:rsid w:val="00782726"/>
    <w:rsid w:val="007B776D"/>
    <w:rsid w:val="007C0036"/>
    <w:rsid w:val="007C0C58"/>
    <w:rsid w:val="007D6E7E"/>
    <w:rsid w:val="007E12A2"/>
    <w:rsid w:val="007E670A"/>
    <w:rsid w:val="008037AC"/>
    <w:rsid w:val="00814540"/>
    <w:rsid w:val="00825F25"/>
    <w:rsid w:val="00833234"/>
    <w:rsid w:val="00836D1A"/>
    <w:rsid w:val="008467E6"/>
    <w:rsid w:val="00866C89"/>
    <w:rsid w:val="00885E54"/>
    <w:rsid w:val="008B27B5"/>
    <w:rsid w:val="008B339D"/>
    <w:rsid w:val="008B681D"/>
    <w:rsid w:val="008B7163"/>
    <w:rsid w:val="008C41BC"/>
    <w:rsid w:val="008D1F91"/>
    <w:rsid w:val="008E5724"/>
    <w:rsid w:val="008F224D"/>
    <w:rsid w:val="00900206"/>
    <w:rsid w:val="00903569"/>
    <w:rsid w:val="00910092"/>
    <w:rsid w:val="00910AE7"/>
    <w:rsid w:val="009130EA"/>
    <w:rsid w:val="00925C4A"/>
    <w:rsid w:val="00937B22"/>
    <w:rsid w:val="00940AD3"/>
    <w:rsid w:val="009436E5"/>
    <w:rsid w:val="00950A14"/>
    <w:rsid w:val="00955E44"/>
    <w:rsid w:val="009608DA"/>
    <w:rsid w:val="009769F9"/>
    <w:rsid w:val="00986DF6"/>
    <w:rsid w:val="00990F88"/>
    <w:rsid w:val="00996E39"/>
    <w:rsid w:val="009B3B3F"/>
    <w:rsid w:val="009C6207"/>
    <w:rsid w:val="009E0040"/>
    <w:rsid w:val="009E22D2"/>
    <w:rsid w:val="009E231C"/>
    <w:rsid w:val="009E7587"/>
    <w:rsid w:val="009E7D1E"/>
    <w:rsid w:val="009F0627"/>
    <w:rsid w:val="00A043FE"/>
    <w:rsid w:val="00A10104"/>
    <w:rsid w:val="00A16E32"/>
    <w:rsid w:val="00A17804"/>
    <w:rsid w:val="00A24110"/>
    <w:rsid w:val="00A24ABC"/>
    <w:rsid w:val="00A378B7"/>
    <w:rsid w:val="00A65678"/>
    <w:rsid w:val="00A73D30"/>
    <w:rsid w:val="00AA25CE"/>
    <w:rsid w:val="00AA7D9C"/>
    <w:rsid w:val="00AB1BBD"/>
    <w:rsid w:val="00AB1E1F"/>
    <w:rsid w:val="00AC4C29"/>
    <w:rsid w:val="00AC6D30"/>
    <w:rsid w:val="00AD44D1"/>
    <w:rsid w:val="00AE0856"/>
    <w:rsid w:val="00AE0D76"/>
    <w:rsid w:val="00AE1E8D"/>
    <w:rsid w:val="00AE6E16"/>
    <w:rsid w:val="00B10A21"/>
    <w:rsid w:val="00B40876"/>
    <w:rsid w:val="00B43077"/>
    <w:rsid w:val="00B53481"/>
    <w:rsid w:val="00B540C1"/>
    <w:rsid w:val="00B56903"/>
    <w:rsid w:val="00B6144A"/>
    <w:rsid w:val="00BA2306"/>
    <w:rsid w:val="00BA2B7E"/>
    <w:rsid w:val="00BB5A09"/>
    <w:rsid w:val="00BB6390"/>
    <w:rsid w:val="00BD20AE"/>
    <w:rsid w:val="00BD418D"/>
    <w:rsid w:val="00BD598E"/>
    <w:rsid w:val="00BE6419"/>
    <w:rsid w:val="00BF2826"/>
    <w:rsid w:val="00BF37F5"/>
    <w:rsid w:val="00BF605D"/>
    <w:rsid w:val="00BF7E04"/>
    <w:rsid w:val="00C036A0"/>
    <w:rsid w:val="00C11E91"/>
    <w:rsid w:val="00C20A64"/>
    <w:rsid w:val="00C30179"/>
    <w:rsid w:val="00C439C0"/>
    <w:rsid w:val="00C55429"/>
    <w:rsid w:val="00C57F5D"/>
    <w:rsid w:val="00C633F4"/>
    <w:rsid w:val="00C6582F"/>
    <w:rsid w:val="00C76896"/>
    <w:rsid w:val="00C77E0C"/>
    <w:rsid w:val="00C90134"/>
    <w:rsid w:val="00CA24C8"/>
    <w:rsid w:val="00CB1857"/>
    <w:rsid w:val="00CC12DB"/>
    <w:rsid w:val="00CD1F1C"/>
    <w:rsid w:val="00CE7F2A"/>
    <w:rsid w:val="00CF61B9"/>
    <w:rsid w:val="00D046C0"/>
    <w:rsid w:val="00D16898"/>
    <w:rsid w:val="00D20CD8"/>
    <w:rsid w:val="00D33FF2"/>
    <w:rsid w:val="00D350A4"/>
    <w:rsid w:val="00D36CBE"/>
    <w:rsid w:val="00D43C02"/>
    <w:rsid w:val="00D63CF0"/>
    <w:rsid w:val="00D6439A"/>
    <w:rsid w:val="00D66923"/>
    <w:rsid w:val="00D678F9"/>
    <w:rsid w:val="00DA4781"/>
    <w:rsid w:val="00DA7600"/>
    <w:rsid w:val="00DC2D0A"/>
    <w:rsid w:val="00DD7D98"/>
    <w:rsid w:val="00DE00BF"/>
    <w:rsid w:val="00E002B3"/>
    <w:rsid w:val="00E048B8"/>
    <w:rsid w:val="00E27D66"/>
    <w:rsid w:val="00E401D4"/>
    <w:rsid w:val="00E44432"/>
    <w:rsid w:val="00E55E1C"/>
    <w:rsid w:val="00E66495"/>
    <w:rsid w:val="00E75260"/>
    <w:rsid w:val="00E804EC"/>
    <w:rsid w:val="00E8058B"/>
    <w:rsid w:val="00E86510"/>
    <w:rsid w:val="00EA56FB"/>
    <w:rsid w:val="00EB2151"/>
    <w:rsid w:val="00EB3C71"/>
    <w:rsid w:val="00EC08A0"/>
    <w:rsid w:val="00EC42B1"/>
    <w:rsid w:val="00ED7464"/>
    <w:rsid w:val="00ED7695"/>
    <w:rsid w:val="00EE737C"/>
    <w:rsid w:val="00EF2E73"/>
    <w:rsid w:val="00F03436"/>
    <w:rsid w:val="00F0659F"/>
    <w:rsid w:val="00F150E0"/>
    <w:rsid w:val="00F418CD"/>
    <w:rsid w:val="00F5080E"/>
    <w:rsid w:val="00F62262"/>
    <w:rsid w:val="00F70F40"/>
    <w:rsid w:val="00F84461"/>
    <w:rsid w:val="00FA527E"/>
    <w:rsid w:val="00FA629E"/>
    <w:rsid w:val="00FB1308"/>
    <w:rsid w:val="00FD5BA5"/>
    <w:rsid w:val="00FE0A30"/>
    <w:rsid w:val="00FE33C9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"/>
    <w:rsid w:val="005530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"/>
    <w:rsid w:val="005530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Доходы Светлогорского поселения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91271231065016"/>
          <c:y val="0.16697444069491313"/>
          <c:w val="0.5685052432209583"/>
          <c:h val="0.420670508969883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 </c:v>
                </c:pt>
                <c:pt idx="3">
                  <c:v>2025 год 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1170</c:v>
                </c:pt>
                <c:pt idx="1">
                  <c:v>1310</c:v>
                </c:pt>
                <c:pt idx="2">
                  <c:v>1318</c:v>
                </c:pt>
                <c:pt idx="3">
                  <c:v>1485.3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pattFill prst="pct50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 </c:v>
                </c:pt>
                <c:pt idx="3">
                  <c:v>2025 год 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78</c:v>
                </c:pt>
                <c:pt idx="1">
                  <c:v>47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4F81BD"/>
                </a:fgClr>
                <a:bgClr>
                  <a:sysClr val="window" lastClr="FFFFFF"/>
                </a:bgClr>
              </a:pattFill>
              <a:ln>
                <a:solidFill>
                  <a:srgbClr val="4F81BD"/>
                </a:solidFill>
              </a:ln>
            </c:spPr>
          </c:dPt>
          <c:dPt>
            <c:idx val="1"/>
            <c:invertIfNegative val="0"/>
            <c:bubble3D val="0"/>
            <c:spPr>
              <a:pattFill prst="wdDnDiag">
                <a:fgClr>
                  <a:srgbClr val="4F81BD"/>
                </a:fgClr>
                <a:bgClr>
                  <a:sysClr val="window" lastClr="FFFFFF"/>
                </a:bgClr>
              </a:pattFill>
              <a:ln>
                <a:solidFill>
                  <a:srgbClr val="4F81BD"/>
                </a:solidFill>
              </a:ln>
            </c:spPr>
          </c:dPt>
          <c:dPt>
            <c:idx val="2"/>
            <c:invertIfNegative val="0"/>
            <c:bubble3D val="0"/>
            <c:spPr>
              <a:pattFill prst="wdUpDiag">
                <a:fgClr>
                  <a:srgbClr val="4F81BD"/>
                </a:fgClr>
                <a:bgClr>
                  <a:sysClr val="window" lastClr="FFFFFF"/>
                </a:bgClr>
              </a:pattFill>
              <a:ln>
                <a:solidFill>
                  <a:srgbClr val="4F81BD"/>
                </a:solidFill>
              </a:ln>
            </c:spPr>
          </c:dPt>
          <c:dPt>
            <c:idx val="3"/>
            <c:invertIfNegative val="0"/>
            <c:bubble3D val="0"/>
            <c:spPr>
              <a:pattFill prst="wdUpDiag">
                <a:fgClr>
                  <a:srgbClr val="4F81BD"/>
                </a:fgClr>
                <a:bgClr>
                  <a:sysClr val="window" lastClr="FFFFFF"/>
                </a:bgClr>
              </a:pattFill>
              <a:ln>
                <a:solidFill>
                  <a:srgbClr val="4F81BD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 </c:v>
                </c:pt>
                <c:pt idx="3">
                  <c:v>2025 год 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25434.94</c:v>
                </c:pt>
                <c:pt idx="1">
                  <c:v>17192.669999999998</c:v>
                </c:pt>
                <c:pt idx="2">
                  <c:v>4451.55</c:v>
                </c:pt>
                <c:pt idx="3">
                  <c:v>4017.12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40064"/>
        <c:axId val="44841600"/>
        <c:axId val="41562560"/>
      </c:bar3DChart>
      <c:catAx>
        <c:axId val="4484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44841600"/>
        <c:crosses val="autoZero"/>
        <c:auto val="1"/>
        <c:lblAlgn val="ctr"/>
        <c:lblOffset val="100"/>
        <c:noMultiLvlLbl val="0"/>
      </c:catAx>
      <c:valAx>
        <c:axId val="448416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44840064"/>
        <c:crosses val="autoZero"/>
        <c:crossBetween val="between"/>
      </c:valAx>
      <c:serAx>
        <c:axId val="4156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44841600"/>
        <c:crosses val="autoZero"/>
      </c:ser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60A1-58E4-4E4E-A272-0E2EA06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10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Zinchenko</cp:lastModifiedBy>
  <cp:revision>80</cp:revision>
  <cp:lastPrinted>2022-12-13T05:30:00Z</cp:lastPrinted>
  <dcterms:created xsi:type="dcterms:W3CDTF">2021-11-16T10:51:00Z</dcterms:created>
  <dcterms:modified xsi:type="dcterms:W3CDTF">2022-12-13T05:36:00Z</dcterms:modified>
</cp:coreProperties>
</file>