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EA" w:rsidRDefault="001E0EEA">
      <w:pPr>
        <w:pStyle w:val="a3"/>
        <w:rPr>
          <w:i w:val="0"/>
          <w:sz w:val="22"/>
          <w:szCs w:val="19"/>
        </w:rPr>
      </w:pPr>
    </w:p>
    <w:p w:rsidR="001E0EEA" w:rsidRPr="00E45849" w:rsidRDefault="00810977">
      <w:pPr>
        <w:pStyle w:val="a3"/>
        <w:rPr>
          <w:i w:val="0"/>
          <w:szCs w:val="28"/>
        </w:rPr>
      </w:pPr>
      <w:r>
        <w:rPr>
          <w:i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5pt;width:1in;height:81pt;z-index:251657728;visibility:visible;mso-wrap-edited:f" o:allowincell="f">
            <v:imagedata r:id="rId9" o:title=""/>
            <w10:wrap type="topAndBottom"/>
          </v:shape>
          <o:OLEObject Type="Embed" ProgID="Word.Picture.8" ShapeID="_x0000_s1026" DrawAspect="Content" ObjectID="_1732452656" r:id="rId10"/>
        </w:pict>
      </w:r>
      <w:r w:rsidR="001E0EEA" w:rsidRPr="00E45849">
        <w:rPr>
          <w:i w:val="0"/>
          <w:szCs w:val="28"/>
        </w:rPr>
        <w:t>КОНТРОЛЬНО – СЧЕТНАЯ   ПАЛАТА</w:t>
      </w:r>
    </w:p>
    <w:p w:rsidR="001E0EEA" w:rsidRPr="00E45849" w:rsidRDefault="001E0EEA">
      <w:pPr>
        <w:pStyle w:val="a3"/>
        <w:pBdr>
          <w:bottom w:val="single" w:sz="12" w:space="1" w:color="auto"/>
        </w:pBdr>
        <w:rPr>
          <w:i w:val="0"/>
          <w:szCs w:val="28"/>
        </w:rPr>
      </w:pPr>
      <w:r w:rsidRPr="00E45849">
        <w:rPr>
          <w:i w:val="0"/>
          <w:szCs w:val="28"/>
        </w:rPr>
        <w:t xml:space="preserve">АГАПОВСКОГО МУНИЦИПАЛЬНОГО РАЙОНА </w:t>
      </w:r>
    </w:p>
    <w:p w:rsidR="001E0EEA" w:rsidRPr="00E45849" w:rsidRDefault="001E0EEA" w:rsidP="00E45849">
      <w:pPr>
        <w:jc w:val="center"/>
        <w:rPr>
          <w:sz w:val="28"/>
          <w:szCs w:val="28"/>
        </w:rPr>
      </w:pPr>
      <w:r w:rsidRPr="00E45849">
        <w:rPr>
          <w:sz w:val="28"/>
          <w:szCs w:val="28"/>
        </w:rPr>
        <w:t>457400  с. Агаповка, ул. Пролетарская, 29А, тел: 2</w:t>
      </w:r>
      <w:r w:rsidR="00E45849" w:rsidRPr="00E45849">
        <w:rPr>
          <w:sz w:val="28"/>
          <w:szCs w:val="28"/>
        </w:rPr>
        <w:t>-11-37, 2-14-36</w:t>
      </w:r>
    </w:p>
    <w:p w:rsidR="00BD1F9D" w:rsidRDefault="00BD1F9D" w:rsidP="0042106B">
      <w:pPr>
        <w:pStyle w:val="2"/>
        <w:rPr>
          <w:szCs w:val="28"/>
        </w:rPr>
      </w:pPr>
    </w:p>
    <w:p w:rsidR="001E0EEA" w:rsidRDefault="00682650" w:rsidP="00664174">
      <w:pPr>
        <w:pStyle w:val="2"/>
        <w:tabs>
          <w:tab w:val="left" w:pos="4020"/>
        </w:tabs>
        <w:rPr>
          <w:sz w:val="22"/>
          <w:szCs w:val="19"/>
        </w:rPr>
      </w:pPr>
      <w:r w:rsidRPr="00612A5E">
        <w:rPr>
          <w:szCs w:val="28"/>
        </w:rPr>
        <w:t>ЗАКЛЮЧЕНИЕ</w:t>
      </w:r>
      <w:r w:rsidR="002F0E03">
        <w:rPr>
          <w:szCs w:val="28"/>
        </w:rPr>
        <w:t xml:space="preserve"> </w:t>
      </w:r>
      <w:r w:rsidR="00EF1DB7">
        <w:rPr>
          <w:szCs w:val="28"/>
        </w:rPr>
        <w:t xml:space="preserve">№ </w:t>
      </w:r>
      <w:r w:rsidR="002B194D">
        <w:rPr>
          <w:szCs w:val="28"/>
        </w:rPr>
        <w:t>42</w:t>
      </w:r>
      <w:r w:rsidR="002F0E03">
        <w:rPr>
          <w:szCs w:val="28"/>
        </w:rPr>
        <w:t>-20</w:t>
      </w:r>
      <w:r w:rsidR="00C03599">
        <w:rPr>
          <w:szCs w:val="28"/>
        </w:rPr>
        <w:t>2</w:t>
      </w:r>
      <w:r w:rsidR="003E2E0F">
        <w:rPr>
          <w:szCs w:val="28"/>
        </w:rPr>
        <w:t>2</w:t>
      </w:r>
    </w:p>
    <w:p w:rsidR="007B1B5B" w:rsidRDefault="007B1B5B" w:rsidP="007B1B5B">
      <w:pPr>
        <w:rPr>
          <w:sz w:val="22"/>
          <w:szCs w:val="19"/>
        </w:rPr>
      </w:pPr>
    </w:p>
    <w:p w:rsidR="00682650" w:rsidRDefault="00682650" w:rsidP="00BD1F9D">
      <w:pPr>
        <w:pStyle w:val="a4"/>
        <w:rPr>
          <w:b/>
          <w:bCs/>
          <w:sz w:val="28"/>
          <w:szCs w:val="28"/>
        </w:rPr>
      </w:pPr>
      <w:r w:rsidRPr="00612A5E">
        <w:rPr>
          <w:b/>
          <w:bCs/>
          <w:sz w:val="28"/>
          <w:szCs w:val="28"/>
        </w:rPr>
        <w:t>на проект решения Со</w:t>
      </w:r>
      <w:r w:rsidR="00236BBB">
        <w:rPr>
          <w:b/>
          <w:bCs/>
          <w:sz w:val="28"/>
          <w:szCs w:val="28"/>
        </w:rPr>
        <w:t>вета</w:t>
      </w:r>
      <w:r w:rsidRPr="00612A5E">
        <w:rPr>
          <w:b/>
          <w:bCs/>
          <w:sz w:val="28"/>
          <w:szCs w:val="28"/>
        </w:rPr>
        <w:t xml:space="preserve"> депутатов </w:t>
      </w:r>
      <w:r w:rsidR="00BF1776">
        <w:rPr>
          <w:b/>
          <w:bCs/>
          <w:sz w:val="28"/>
          <w:szCs w:val="28"/>
        </w:rPr>
        <w:t>Буранного</w:t>
      </w:r>
      <w:r w:rsidR="004117FF">
        <w:rPr>
          <w:b/>
          <w:bCs/>
          <w:sz w:val="28"/>
          <w:szCs w:val="28"/>
        </w:rPr>
        <w:t xml:space="preserve"> сельского поселения </w:t>
      </w:r>
      <w:r w:rsidRPr="00612A5E">
        <w:rPr>
          <w:b/>
          <w:bCs/>
          <w:sz w:val="28"/>
          <w:szCs w:val="28"/>
        </w:rPr>
        <w:t>Агаповского муниципального района Челябинской области</w:t>
      </w:r>
    </w:p>
    <w:p w:rsidR="00682650" w:rsidRDefault="00682650" w:rsidP="00BD1F9D">
      <w:pPr>
        <w:pStyle w:val="a4"/>
        <w:rPr>
          <w:b/>
          <w:bCs/>
          <w:sz w:val="28"/>
          <w:szCs w:val="28"/>
        </w:rPr>
      </w:pPr>
      <w:r w:rsidRPr="00612A5E">
        <w:rPr>
          <w:b/>
          <w:bCs/>
          <w:sz w:val="28"/>
          <w:szCs w:val="28"/>
        </w:rPr>
        <w:t xml:space="preserve">«О бюджете </w:t>
      </w:r>
      <w:r w:rsidR="00BF1776">
        <w:rPr>
          <w:b/>
          <w:bCs/>
          <w:sz w:val="28"/>
          <w:szCs w:val="28"/>
        </w:rPr>
        <w:t>Буранного</w:t>
      </w:r>
      <w:r w:rsidR="004117FF">
        <w:rPr>
          <w:b/>
          <w:bCs/>
          <w:sz w:val="28"/>
          <w:szCs w:val="28"/>
        </w:rPr>
        <w:t xml:space="preserve"> сельского поселения </w:t>
      </w:r>
      <w:r w:rsidRPr="00612A5E">
        <w:rPr>
          <w:b/>
          <w:bCs/>
          <w:sz w:val="28"/>
          <w:szCs w:val="28"/>
        </w:rPr>
        <w:t xml:space="preserve">на </w:t>
      </w:r>
      <w:r w:rsidR="00314465">
        <w:rPr>
          <w:b/>
          <w:bCs/>
          <w:sz w:val="28"/>
          <w:szCs w:val="28"/>
        </w:rPr>
        <w:t>20</w:t>
      </w:r>
      <w:r w:rsidR="00A21910">
        <w:rPr>
          <w:b/>
          <w:bCs/>
          <w:sz w:val="28"/>
          <w:szCs w:val="28"/>
        </w:rPr>
        <w:t>2</w:t>
      </w:r>
      <w:r w:rsidR="003E2E0F">
        <w:rPr>
          <w:b/>
          <w:bCs/>
          <w:sz w:val="28"/>
          <w:szCs w:val="28"/>
        </w:rPr>
        <w:t>3</w:t>
      </w:r>
      <w:r w:rsidR="00FD03E6" w:rsidRPr="00FD03E6">
        <w:rPr>
          <w:b/>
          <w:bCs/>
          <w:sz w:val="28"/>
          <w:szCs w:val="28"/>
        </w:rPr>
        <w:t xml:space="preserve"> </w:t>
      </w:r>
      <w:r w:rsidRPr="00612A5E">
        <w:rPr>
          <w:b/>
          <w:bCs/>
          <w:sz w:val="28"/>
          <w:szCs w:val="28"/>
        </w:rPr>
        <w:t>год</w:t>
      </w:r>
      <w:r w:rsidR="00FD03E6" w:rsidRPr="00FD03E6">
        <w:rPr>
          <w:b/>
          <w:bCs/>
          <w:sz w:val="28"/>
          <w:szCs w:val="28"/>
        </w:rPr>
        <w:t xml:space="preserve"> </w:t>
      </w:r>
      <w:r w:rsidR="00FD03E6">
        <w:rPr>
          <w:b/>
          <w:bCs/>
          <w:sz w:val="28"/>
          <w:szCs w:val="28"/>
        </w:rPr>
        <w:t xml:space="preserve">и на плановый период </w:t>
      </w:r>
      <w:r w:rsidR="00314465">
        <w:rPr>
          <w:b/>
          <w:bCs/>
          <w:sz w:val="28"/>
          <w:szCs w:val="28"/>
        </w:rPr>
        <w:t>202</w:t>
      </w:r>
      <w:r w:rsidR="003E2E0F">
        <w:rPr>
          <w:b/>
          <w:bCs/>
          <w:sz w:val="28"/>
          <w:szCs w:val="28"/>
        </w:rPr>
        <w:t>4</w:t>
      </w:r>
      <w:r w:rsidR="00FD03E6">
        <w:rPr>
          <w:b/>
          <w:bCs/>
          <w:sz w:val="28"/>
          <w:szCs w:val="28"/>
        </w:rPr>
        <w:t xml:space="preserve"> и 20</w:t>
      </w:r>
      <w:r w:rsidR="00DF6C90">
        <w:rPr>
          <w:b/>
          <w:bCs/>
          <w:sz w:val="28"/>
          <w:szCs w:val="28"/>
        </w:rPr>
        <w:t>2</w:t>
      </w:r>
      <w:r w:rsidR="003E2E0F">
        <w:rPr>
          <w:b/>
          <w:bCs/>
          <w:sz w:val="28"/>
          <w:szCs w:val="28"/>
        </w:rPr>
        <w:t>5</w:t>
      </w:r>
      <w:r w:rsidR="00FD03E6">
        <w:rPr>
          <w:b/>
          <w:bCs/>
          <w:sz w:val="28"/>
          <w:szCs w:val="28"/>
        </w:rPr>
        <w:t xml:space="preserve"> годов</w:t>
      </w:r>
      <w:r w:rsidR="00BD1F9D">
        <w:rPr>
          <w:b/>
          <w:bCs/>
          <w:sz w:val="28"/>
          <w:szCs w:val="28"/>
        </w:rPr>
        <w:t>»</w:t>
      </w:r>
    </w:p>
    <w:p w:rsidR="0060476A" w:rsidRDefault="0060476A" w:rsidP="0060476A">
      <w:pPr>
        <w:pStyle w:val="a4"/>
        <w:ind w:firstLine="720"/>
        <w:jc w:val="left"/>
        <w:rPr>
          <w:b/>
          <w:bCs/>
          <w:sz w:val="28"/>
          <w:szCs w:val="28"/>
        </w:rPr>
      </w:pPr>
    </w:p>
    <w:p w:rsidR="00EF1DB7" w:rsidRDefault="002B194D" w:rsidP="0060476A">
      <w:pPr>
        <w:pStyle w:val="a4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30</w:t>
      </w:r>
      <w:r w:rsidR="0060476A" w:rsidRPr="003E140D">
        <w:rPr>
          <w:sz w:val="28"/>
          <w:szCs w:val="28"/>
        </w:rPr>
        <w:t xml:space="preserve"> </w:t>
      </w:r>
      <w:r w:rsidR="0060476A">
        <w:rPr>
          <w:sz w:val="28"/>
          <w:szCs w:val="28"/>
        </w:rPr>
        <w:t>ноября</w:t>
      </w:r>
      <w:r w:rsidR="0060476A" w:rsidRPr="003E140D">
        <w:rPr>
          <w:sz w:val="28"/>
          <w:szCs w:val="28"/>
        </w:rPr>
        <w:t xml:space="preserve"> 20</w:t>
      </w:r>
      <w:r w:rsidR="0060476A">
        <w:rPr>
          <w:sz w:val="28"/>
          <w:szCs w:val="28"/>
        </w:rPr>
        <w:t>2</w:t>
      </w:r>
      <w:r w:rsidR="003E2E0F">
        <w:rPr>
          <w:sz w:val="28"/>
          <w:szCs w:val="28"/>
        </w:rPr>
        <w:t>2</w:t>
      </w:r>
      <w:r w:rsidR="0060476A" w:rsidRPr="003E140D">
        <w:rPr>
          <w:sz w:val="28"/>
          <w:szCs w:val="28"/>
        </w:rPr>
        <w:t xml:space="preserve"> г.</w:t>
      </w:r>
    </w:p>
    <w:p w:rsidR="00EF1DB7" w:rsidRPr="00612A5E" w:rsidRDefault="00EF1DB7" w:rsidP="00EF1DB7">
      <w:pPr>
        <w:pStyle w:val="a4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682650" w:rsidRDefault="00682650" w:rsidP="00682650">
      <w:pPr>
        <w:rPr>
          <w:sz w:val="22"/>
          <w:szCs w:val="19"/>
        </w:rPr>
      </w:pPr>
    </w:p>
    <w:p w:rsidR="00B03244" w:rsidRDefault="00682650" w:rsidP="00682650">
      <w:pPr>
        <w:pStyle w:val="10"/>
        <w:rPr>
          <w:szCs w:val="28"/>
        </w:rPr>
      </w:pPr>
      <w:proofErr w:type="gramStart"/>
      <w:r w:rsidRPr="00D179E2">
        <w:rPr>
          <w:szCs w:val="28"/>
        </w:rPr>
        <w:t>Заключение на проект решения Со</w:t>
      </w:r>
      <w:r w:rsidR="00236BBB" w:rsidRPr="00D179E2">
        <w:rPr>
          <w:szCs w:val="28"/>
        </w:rPr>
        <w:t>вета</w:t>
      </w:r>
      <w:r w:rsidRPr="00D179E2">
        <w:rPr>
          <w:szCs w:val="28"/>
        </w:rPr>
        <w:t xml:space="preserve"> депутатов </w:t>
      </w:r>
      <w:r w:rsidR="00BF1776" w:rsidRPr="00D179E2">
        <w:rPr>
          <w:szCs w:val="28"/>
        </w:rPr>
        <w:t>Буранного</w:t>
      </w:r>
      <w:r w:rsidR="004117FF" w:rsidRPr="00D179E2">
        <w:rPr>
          <w:szCs w:val="28"/>
        </w:rPr>
        <w:t xml:space="preserve"> сельского поселения </w:t>
      </w:r>
      <w:r w:rsidRPr="00D179E2">
        <w:rPr>
          <w:szCs w:val="28"/>
        </w:rPr>
        <w:t xml:space="preserve">Агаповского муниципального района Челябинской области «О бюджете </w:t>
      </w:r>
      <w:r w:rsidR="00BF1776" w:rsidRPr="00D179E2">
        <w:rPr>
          <w:szCs w:val="28"/>
        </w:rPr>
        <w:t>Буранного</w:t>
      </w:r>
      <w:r w:rsidR="004117FF" w:rsidRPr="00D179E2">
        <w:rPr>
          <w:szCs w:val="28"/>
        </w:rPr>
        <w:t xml:space="preserve"> сельского поселения </w:t>
      </w:r>
      <w:r w:rsidR="00F6279B">
        <w:rPr>
          <w:szCs w:val="28"/>
        </w:rPr>
        <w:t>на 202</w:t>
      </w:r>
      <w:r w:rsidR="003E2E0F">
        <w:rPr>
          <w:szCs w:val="28"/>
        </w:rPr>
        <w:t>3</w:t>
      </w:r>
      <w:r w:rsidR="00F6279B">
        <w:rPr>
          <w:szCs w:val="28"/>
        </w:rPr>
        <w:t xml:space="preserve"> год и на плановый период 202</w:t>
      </w:r>
      <w:r w:rsidR="003E2E0F">
        <w:rPr>
          <w:szCs w:val="28"/>
        </w:rPr>
        <w:t>4</w:t>
      </w:r>
      <w:r w:rsidR="00F6279B">
        <w:rPr>
          <w:szCs w:val="28"/>
        </w:rPr>
        <w:t xml:space="preserve"> и 202</w:t>
      </w:r>
      <w:r w:rsidR="003E2E0F">
        <w:rPr>
          <w:szCs w:val="28"/>
        </w:rPr>
        <w:t>5</w:t>
      </w:r>
      <w:r w:rsidR="00F6279B">
        <w:rPr>
          <w:szCs w:val="28"/>
        </w:rPr>
        <w:t xml:space="preserve"> годов</w:t>
      </w:r>
      <w:r w:rsidRPr="00D179E2">
        <w:rPr>
          <w:szCs w:val="28"/>
        </w:rPr>
        <w:t>»</w:t>
      </w:r>
      <w:r w:rsidR="00B03244">
        <w:rPr>
          <w:szCs w:val="28"/>
        </w:rPr>
        <w:t xml:space="preserve"> (Проект решения)</w:t>
      </w:r>
      <w:r w:rsidRPr="00D179E2">
        <w:rPr>
          <w:szCs w:val="28"/>
        </w:rPr>
        <w:t xml:space="preserve"> подготовлено в соответствии с требованиями Бюджетного кодекса Российской Федерации</w:t>
      </w:r>
      <w:r w:rsidR="00BD1F9D">
        <w:rPr>
          <w:szCs w:val="28"/>
        </w:rPr>
        <w:t xml:space="preserve"> (</w:t>
      </w:r>
      <w:r w:rsidR="00FD6953" w:rsidRPr="00D179E2">
        <w:rPr>
          <w:szCs w:val="28"/>
        </w:rPr>
        <w:t>БК РФ)</w:t>
      </w:r>
      <w:r w:rsidRPr="00D179E2">
        <w:rPr>
          <w:szCs w:val="28"/>
        </w:rPr>
        <w:t>,</w:t>
      </w:r>
      <w:r w:rsidR="00E93F61" w:rsidRPr="00D179E2">
        <w:rPr>
          <w:rFonts w:eastAsiaTheme="minorHAnsi"/>
          <w:szCs w:val="28"/>
          <w:lang w:eastAsia="en-US"/>
        </w:rPr>
        <w:t xml:space="preserve"> Положени</w:t>
      </w:r>
      <w:r w:rsidR="00B03244">
        <w:rPr>
          <w:rFonts w:eastAsiaTheme="minorHAnsi"/>
          <w:szCs w:val="28"/>
          <w:lang w:eastAsia="en-US"/>
        </w:rPr>
        <w:t>ем</w:t>
      </w:r>
      <w:r w:rsidR="00E93F61" w:rsidRPr="00D179E2">
        <w:rPr>
          <w:rFonts w:eastAsiaTheme="minorHAnsi"/>
          <w:szCs w:val="28"/>
          <w:lang w:eastAsia="en-US"/>
        </w:rPr>
        <w:t xml:space="preserve"> «О бюджетном процессе в </w:t>
      </w:r>
      <w:r w:rsidR="00BF1776" w:rsidRPr="00D179E2">
        <w:rPr>
          <w:rFonts w:eastAsiaTheme="minorHAnsi"/>
          <w:szCs w:val="28"/>
          <w:lang w:eastAsia="en-US"/>
        </w:rPr>
        <w:t>Буранном</w:t>
      </w:r>
      <w:r w:rsidR="00827822" w:rsidRPr="00D179E2">
        <w:rPr>
          <w:rFonts w:eastAsiaTheme="minorHAnsi"/>
          <w:szCs w:val="28"/>
          <w:lang w:eastAsia="en-US"/>
        </w:rPr>
        <w:t xml:space="preserve"> сельском поселении </w:t>
      </w:r>
      <w:r w:rsidR="00E93F61" w:rsidRPr="00D179E2">
        <w:rPr>
          <w:rFonts w:eastAsiaTheme="minorHAnsi"/>
          <w:szCs w:val="28"/>
          <w:lang w:eastAsia="en-US"/>
        </w:rPr>
        <w:t>Агаповско</w:t>
      </w:r>
      <w:r w:rsidR="00827822" w:rsidRPr="00D179E2">
        <w:rPr>
          <w:rFonts w:eastAsiaTheme="minorHAnsi"/>
          <w:szCs w:val="28"/>
          <w:lang w:eastAsia="en-US"/>
        </w:rPr>
        <w:t>го</w:t>
      </w:r>
      <w:r w:rsidR="00E93F61" w:rsidRPr="00D179E2">
        <w:rPr>
          <w:rFonts w:eastAsiaTheme="minorHAnsi"/>
          <w:szCs w:val="28"/>
          <w:lang w:eastAsia="en-US"/>
        </w:rPr>
        <w:t xml:space="preserve"> муниципально</w:t>
      </w:r>
      <w:r w:rsidR="00827822" w:rsidRPr="00D179E2">
        <w:rPr>
          <w:rFonts w:eastAsiaTheme="minorHAnsi"/>
          <w:szCs w:val="28"/>
          <w:lang w:eastAsia="en-US"/>
        </w:rPr>
        <w:t>го</w:t>
      </w:r>
      <w:r w:rsidR="00E93F61" w:rsidRPr="00D179E2">
        <w:rPr>
          <w:rFonts w:eastAsiaTheme="minorHAnsi"/>
          <w:szCs w:val="28"/>
          <w:lang w:eastAsia="en-US"/>
        </w:rPr>
        <w:t xml:space="preserve"> район</w:t>
      </w:r>
      <w:r w:rsidR="00827822" w:rsidRPr="00D179E2">
        <w:rPr>
          <w:rFonts w:eastAsiaTheme="minorHAnsi"/>
          <w:szCs w:val="28"/>
          <w:lang w:eastAsia="en-US"/>
        </w:rPr>
        <w:t>а</w:t>
      </w:r>
      <w:r w:rsidR="00E93F61" w:rsidRPr="00D179E2">
        <w:rPr>
          <w:rFonts w:eastAsiaTheme="minorHAnsi"/>
          <w:szCs w:val="28"/>
          <w:lang w:eastAsia="en-US"/>
        </w:rPr>
        <w:t xml:space="preserve"> Челябинской области</w:t>
      </w:r>
      <w:r w:rsidR="00E93F61" w:rsidRPr="006A54D3">
        <w:rPr>
          <w:rFonts w:eastAsiaTheme="minorHAnsi"/>
          <w:szCs w:val="28"/>
          <w:lang w:eastAsia="en-US"/>
        </w:rPr>
        <w:t>»,</w:t>
      </w:r>
      <w:r w:rsidR="00B03244">
        <w:rPr>
          <w:rFonts w:eastAsiaTheme="minorHAnsi"/>
          <w:szCs w:val="28"/>
          <w:lang w:eastAsia="en-US"/>
        </w:rPr>
        <w:t xml:space="preserve"> утвержденного</w:t>
      </w:r>
      <w:proofErr w:type="gramEnd"/>
      <w:r w:rsidR="00B03244">
        <w:rPr>
          <w:rFonts w:eastAsiaTheme="minorHAnsi"/>
          <w:szCs w:val="28"/>
          <w:lang w:eastAsia="en-US"/>
        </w:rPr>
        <w:t xml:space="preserve"> </w:t>
      </w:r>
      <w:r w:rsidR="00B03244" w:rsidRPr="00D179E2">
        <w:rPr>
          <w:rFonts w:eastAsiaTheme="minorHAnsi"/>
          <w:szCs w:val="28"/>
          <w:lang w:eastAsia="en-US"/>
        </w:rPr>
        <w:t>решением Совета депутатов Буранного сельского поселения Агаповского муниципального района от 21.11.2018 г. № 150</w:t>
      </w:r>
      <w:r w:rsidR="00B03244">
        <w:rPr>
          <w:rFonts w:eastAsiaTheme="minorHAnsi"/>
          <w:szCs w:val="28"/>
          <w:lang w:eastAsia="en-US"/>
        </w:rPr>
        <w:t>,</w:t>
      </w:r>
      <w:r w:rsidR="00B03244" w:rsidRPr="00D179E2">
        <w:rPr>
          <w:rFonts w:eastAsiaTheme="minorHAnsi"/>
          <w:szCs w:val="28"/>
          <w:lang w:eastAsia="en-US"/>
        </w:rPr>
        <w:t xml:space="preserve"> </w:t>
      </w:r>
      <w:r w:rsidR="00E93F61" w:rsidRPr="006A54D3">
        <w:rPr>
          <w:rFonts w:eastAsiaTheme="minorHAnsi"/>
          <w:szCs w:val="28"/>
          <w:lang w:eastAsia="en-US"/>
        </w:rPr>
        <w:t xml:space="preserve"> </w:t>
      </w:r>
      <w:r w:rsidRPr="006A54D3">
        <w:rPr>
          <w:szCs w:val="28"/>
        </w:rPr>
        <w:t>решени</w:t>
      </w:r>
      <w:r w:rsidR="00E93F61" w:rsidRPr="006A54D3">
        <w:rPr>
          <w:szCs w:val="28"/>
        </w:rPr>
        <w:t>ем</w:t>
      </w:r>
      <w:r w:rsidRPr="006A54D3">
        <w:rPr>
          <w:szCs w:val="28"/>
        </w:rPr>
        <w:t xml:space="preserve"> Со</w:t>
      </w:r>
      <w:r w:rsidR="00236BBB" w:rsidRPr="006A54D3">
        <w:rPr>
          <w:szCs w:val="28"/>
        </w:rPr>
        <w:t>вета</w:t>
      </w:r>
      <w:r w:rsidRPr="006A54D3">
        <w:rPr>
          <w:szCs w:val="28"/>
        </w:rPr>
        <w:t xml:space="preserve"> депутатов </w:t>
      </w:r>
      <w:r w:rsidR="00BF1776" w:rsidRPr="006A54D3">
        <w:rPr>
          <w:szCs w:val="28"/>
        </w:rPr>
        <w:t>Буранного</w:t>
      </w:r>
      <w:r w:rsidR="00827822" w:rsidRPr="006A54D3">
        <w:rPr>
          <w:szCs w:val="28"/>
        </w:rPr>
        <w:t xml:space="preserve"> сельского поселения </w:t>
      </w:r>
      <w:r w:rsidRPr="006A54D3">
        <w:rPr>
          <w:szCs w:val="28"/>
        </w:rPr>
        <w:t xml:space="preserve">Агаповского муниципального района </w:t>
      </w:r>
      <w:r w:rsidR="00E93F61" w:rsidRPr="006A54D3">
        <w:rPr>
          <w:szCs w:val="28"/>
        </w:rPr>
        <w:t xml:space="preserve">от </w:t>
      </w:r>
      <w:r w:rsidR="00BF1776" w:rsidRPr="006A54D3">
        <w:rPr>
          <w:szCs w:val="28"/>
        </w:rPr>
        <w:t>18</w:t>
      </w:r>
      <w:r w:rsidR="00E93F61" w:rsidRPr="006A54D3">
        <w:rPr>
          <w:szCs w:val="28"/>
        </w:rPr>
        <w:t>.</w:t>
      </w:r>
      <w:r w:rsidR="00BF1776" w:rsidRPr="006A54D3">
        <w:rPr>
          <w:szCs w:val="28"/>
        </w:rPr>
        <w:t>01</w:t>
      </w:r>
      <w:r w:rsidR="00E93F61" w:rsidRPr="006A54D3">
        <w:rPr>
          <w:szCs w:val="28"/>
        </w:rPr>
        <w:t>.201</w:t>
      </w:r>
      <w:r w:rsidR="00BF1776" w:rsidRPr="006A54D3">
        <w:rPr>
          <w:szCs w:val="28"/>
        </w:rPr>
        <w:t>7</w:t>
      </w:r>
      <w:r w:rsidR="00E93F61" w:rsidRPr="006A54D3">
        <w:rPr>
          <w:szCs w:val="28"/>
        </w:rPr>
        <w:t xml:space="preserve"> г. № </w:t>
      </w:r>
      <w:r w:rsidR="00BF1776" w:rsidRPr="006A54D3">
        <w:rPr>
          <w:szCs w:val="28"/>
        </w:rPr>
        <w:t>76</w:t>
      </w:r>
      <w:r w:rsidRPr="006A54D3">
        <w:rPr>
          <w:szCs w:val="28"/>
        </w:rPr>
        <w:t xml:space="preserve"> «О </w:t>
      </w:r>
      <w:r w:rsidR="00827822" w:rsidRPr="006A54D3">
        <w:rPr>
          <w:szCs w:val="28"/>
        </w:rPr>
        <w:t xml:space="preserve">передаче части полномочий по осуществлению внешнего муниципального финансового контроля </w:t>
      </w:r>
      <w:r w:rsidRPr="006A54D3">
        <w:rPr>
          <w:szCs w:val="28"/>
        </w:rPr>
        <w:t>Контрольно-счетной палате Агаповского муниципального района».</w:t>
      </w:r>
    </w:p>
    <w:p w:rsidR="00B03244" w:rsidRPr="008A180B" w:rsidRDefault="00B03244" w:rsidP="00B03244">
      <w:pPr>
        <w:pStyle w:val="30"/>
        <w:ind w:firstLine="720"/>
        <w:rPr>
          <w:szCs w:val="28"/>
        </w:rPr>
      </w:pPr>
      <w:r w:rsidRPr="008A180B">
        <w:rPr>
          <w:szCs w:val="28"/>
        </w:rPr>
        <w:t>Проанализированы материалы</w:t>
      </w:r>
      <w:r>
        <w:rPr>
          <w:szCs w:val="28"/>
        </w:rPr>
        <w:t>, представленные на экспертизу</w:t>
      </w:r>
      <w:r w:rsidRPr="008A180B">
        <w:rPr>
          <w:szCs w:val="28"/>
        </w:rPr>
        <w:t xml:space="preserve"> проекта решения «О бюджете </w:t>
      </w:r>
      <w:r>
        <w:rPr>
          <w:szCs w:val="28"/>
        </w:rPr>
        <w:t>Буранного</w:t>
      </w:r>
      <w:r w:rsidRPr="008A180B">
        <w:rPr>
          <w:szCs w:val="28"/>
        </w:rPr>
        <w:t xml:space="preserve"> сельского поселения </w:t>
      </w:r>
      <w:r>
        <w:rPr>
          <w:szCs w:val="28"/>
        </w:rPr>
        <w:t>на 202</w:t>
      </w:r>
      <w:r w:rsidR="003E2E0F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3E2E0F">
        <w:rPr>
          <w:szCs w:val="28"/>
        </w:rPr>
        <w:t>4</w:t>
      </w:r>
      <w:r>
        <w:rPr>
          <w:szCs w:val="28"/>
        </w:rPr>
        <w:t xml:space="preserve"> и 202</w:t>
      </w:r>
      <w:r w:rsidR="003E2E0F">
        <w:rPr>
          <w:szCs w:val="28"/>
        </w:rPr>
        <w:t>5</w:t>
      </w:r>
      <w:r>
        <w:rPr>
          <w:szCs w:val="28"/>
        </w:rPr>
        <w:t xml:space="preserve"> годов</w:t>
      </w:r>
      <w:r w:rsidRPr="008A180B">
        <w:rPr>
          <w:szCs w:val="28"/>
        </w:rPr>
        <w:t>»</w:t>
      </w:r>
      <w:r>
        <w:rPr>
          <w:szCs w:val="28"/>
        </w:rPr>
        <w:t xml:space="preserve">, </w:t>
      </w:r>
      <w:r w:rsidRPr="008A180B">
        <w:rPr>
          <w:szCs w:val="28"/>
        </w:rPr>
        <w:t>проверено наличие и состояние нормативной и методической базы, регулирующей порядок формирования и расчетов параметров основных показателей.</w:t>
      </w:r>
    </w:p>
    <w:p w:rsidR="00682650" w:rsidRPr="00D179E2" w:rsidRDefault="00682650" w:rsidP="00682650">
      <w:pPr>
        <w:ind w:firstLine="720"/>
        <w:jc w:val="both"/>
        <w:rPr>
          <w:color w:val="000000"/>
          <w:sz w:val="28"/>
          <w:szCs w:val="28"/>
        </w:rPr>
      </w:pPr>
      <w:r w:rsidRPr="00D179E2">
        <w:rPr>
          <w:color w:val="000000"/>
          <w:sz w:val="28"/>
          <w:szCs w:val="28"/>
        </w:rPr>
        <w:t>Для подготовки заключения были использованы следующие документы и материалы:</w:t>
      </w:r>
    </w:p>
    <w:p w:rsidR="00682650" w:rsidRPr="00D179E2" w:rsidRDefault="0068265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проект решения «О бюджете </w:t>
      </w:r>
      <w:r w:rsidR="00BF1776" w:rsidRPr="00D179E2">
        <w:rPr>
          <w:sz w:val="28"/>
          <w:szCs w:val="28"/>
        </w:rPr>
        <w:t>Буранного</w:t>
      </w:r>
      <w:r w:rsidR="00DC0F2A" w:rsidRPr="00D179E2">
        <w:rPr>
          <w:sz w:val="28"/>
          <w:szCs w:val="28"/>
        </w:rPr>
        <w:t xml:space="preserve"> сельского поселения </w:t>
      </w:r>
      <w:r w:rsidR="00F6279B">
        <w:rPr>
          <w:sz w:val="28"/>
          <w:szCs w:val="28"/>
        </w:rPr>
        <w:t>на 20</w:t>
      </w:r>
      <w:r w:rsidR="00F66225">
        <w:rPr>
          <w:sz w:val="28"/>
          <w:szCs w:val="28"/>
        </w:rPr>
        <w:t>2</w:t>
      </w:r>
      <w:r w:rsidR="003E2E0F">
        <w:rPr>
          <w:sz w:val="28"/>
          <w:szCs w:val="28"/>
        </w:rPr>
        <w:t>3</w:t>
      </w:r>
      <w:r w:rsidR="00F6279B">
        <w:rPr>
          <w:sz w:val="28"/>
          <w:szCs w:val="28"/>
        </w:rPr>
        <w:t xml:space="preserve"> год и на плановый период 202</w:t>
      </w:r>
      <w:r w:rsidR="003E2E0F">
        <w:rPr>
          <w:sz w:val="28"/>
          <w:szCs w:val="28"/>
        </w:rPr>
        <w:t>4</w:t>
      </w:r>
      <w:r w:rsidR="00F6279B">
        <w:rPr>
          <w:sz w:val="28"/>
          <w:szCs w:val="28"/>
        </w:rPr>
        <w:t xml:space="preserve"> и 202</w:t>
      </w:r>
      <w:r w:rsidR="003E2E0F">
        <w:rPr>
          <w:sz w:val="28"/>
          <w:szCs w:val="28"/>
        </w:rPr>
        <w:t>5</w:t>
      </w:r>
      <w:r w:rsidR="00F6279B">
        <w:rPr>
          <w:sz w:val="28"/>
          <w:szCs w:val="28"/>
        </w:rPr>
        <w:t xml:space="preserve"> годов</w:t>
      </w:r>
      <w:r w:rsidRPr="00D179E2">
        <w:rPr>
          <w:sz w:val="28"/>
          <w:szCs w:val="28"/>
        </w:rPr>
        <w:t xml:space="preserve"> (с приложениями)»;</w:t>
      </w:r>
    </w:p>
    <w:p w:rsidR="00590600" w:rsidRPr="00D179E2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основные направления </w:t>
      </w:r>
      <w:r w:rsidR="00F66225">
        <w:rPr>
          <w:sz w:val="28"/>
          <w:szCs w:val="28"/>
        </w:rPr>
        <w:t xml:space="preserve">налоговой </w:t>
      </w:r>
      <w:r w:rsidRPr="00D179E2">
        <w:rPr>
          <w:sz w:val="28"/>
          <w:szCs w:val="28"/>
        </w:rPr>
        <w:t xml:space="preserve">политики и основные направления </w:t>
      </w:r>
      <w:r w:rsidR="00F66225">
        <w:rPr>
          <w:sz w:val="28"/>
          <w:szCs w:val="28"/>
        </w:rPr>
        <w:t>бюджетной</w:t>
      </w:r>
      <w:r w:rsidRPr="00D179E2">
        <w:rPr>
          <w:sz w:val="28"/>
          <w:szCs w:val="28"/>
        </w:rPr>
        <w:t xml:space="preserve"> политики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на </w:t>
      </w:r>
      <w:r w:rsidR="00314465" w:rsidRPr="00D179E2">
        <w:rPr>
          <w:sz w:val="28"/>
          <w:szCs w:val="28"/>
        </w:rPr>
        <w:t>20</w:t>
      </w:r>
      <w:r w:rsidR="00A21910">
        <w:rPr>
          <w:sz w:val="28"/>
          <w:szCs w:val="28"/>
        </w:rPr>
        <w:t>2</w:t>
      </w:r>
      <w:r w:rsidR="003E2E0F">
        <w:rPr>
          <w:sz w:val="28"/>
          <w:szCs w:val="28"/>
        </w:rPr>
        <w:t>3</w:t>
      </w:r>
      <w:r w:rsidRPr="00D179E2">
        <w:rPr>
          <w:sz w:val="28"/>
          <w:szCs w:val="28"/>
        </w:rPr>
        <w:t>-202</w:t>
      </w:r>
      <w:r w:rsidR="003E2E0F">
        <w:rPr>
          <w:sz w:val="28"/>
          <w:szCs w:val="28"/>
        </w:rPr>
        <w:t>5</w:t>
      </w:r>
      <w:r w:rsidRPr="00D179E2">
        <w:rPr>
          <w:sz w:val="28"/>
          <w:szCs w:val="28"/>
        </w:rPr>
        <w:t xml:space="preserve"> годы;</w:t>
      </w:r>
    </w:p>
    <w:p w:rsidR="00590600" w:rsidRPr="00A71EDD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A71EDD">
        <w:rPr>
          <w:sz w:val="28"/>
          <w:szCs w:val="28"/>
        </w:rPr>
        <w:t xml:space="preserve">прогноз социально-экономического развития </w:t>
      </w:r>
      <w:r w:rsidR="00F66225">
        <w:rPr>
          <w:sz w:val="28"/>
          <w:szCs w:val="28"/>
        </w:rPr>
        <w:t>Буранного сельского поселения на 202</w:t>
      </w:r>
      <w:r w:rsidR="003E2E0F">
        <w:rPr>
          <w:sz w:val="28"/>
          <w:szCs w:val="28"/>
        </w:rPr>
        <w:t>3</w:t>
      </w:r>
      <w:r w:rsidR="00F66225">
        <w:rPr>
          <w:sz w:val="28"/>
          <w:szCs w:val="28"/>
        </w:rPr>
        <w:t xml:space="preserve"> год и на плановый период </w:t>
      </w:r>
      <w:r w:rsidRPr="00A71EDD">
        <w:rPr>
          <w:sz w:val="28"/>
          <w:szCs w:val="28"/>
        </w:rPr>
        <w:t>202</w:t>
      </w:r>
      <w:r w:rsidR="003E2E0F">
        <w:rPr>
          <w:sz w:val="28"/>
          <w:szCs w:val="28"/>
        </w:rPr>
        <w:t>4</w:t>
      </w:r>
      <w:r w:rsidR="00F66225">
        <w:rPr>
          <w:sz w:val="28"/>
          <w:szCs w:val="28"/>
        </w:rPr>
        <w:t xml:space="preserve"> и 202</w:t>
      </w:r>
      <w:r w:rsidR="003E2E0F">
        <w:rPr>
          <w:sz w:val="28"/>
          <w:szCs w:val="28"/>
        </w:rPr>
        <w:t>5</w:t>
      </w:r>
      <w:r w:rsidR="00F66225">
        <w:rPr>
          <w:sz w:val="28"/>
          <w:szCs w:val="28"/>
        </w:rPr>
        <w:t xml:space="preserve"> годов</w:t>
      </w:r>
      <w:r w:rsidRPr="00A71EDD">
        <w:rPr>
          <w:sz w:val="28"/>
          <w:szCs w:val="28"/>
        </w:rPr>
        <w:t>;</w:t>
      </w:r>
    </w:p>
    <w:p w:rsidR="00590600" w:rsidRPr="00D179E2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A71EDD">
        <w:rPr>
          <w:sz w:val="28"/>
          <w:szCs w:val="28"/>
        </w:rPr>
        <w:lastRenderedPageBreak/>
        <w:t>прогноз основных характеристик</w:t>
      </w:r>
      <w:r w:rsidRPr="00D179E2">
        <w:rPr>
          <w:sz w:val="28"/>
          <w:szCs w:val="28"/>
        </w:rPr>
        <w:t xml:space="preserve"> (общий объем доходов, расходов, дефицита (профицита) бюджета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на </w:t>
      </w:r>
      <w:r w:rsidR="006A54D3">
        <w:rPr>
          <w:sz w:val="28"/>
          <w:szCs w:val="28"/>
        </w:rPr>
        <w:t>202</w:t>
      </w:r>
      <w:r w:rsidR="003E2E0F">
        <w:rPr>
          <w:sz w:val="28"/>
          <w:szCs w:val="28"/>
        </w:rPr>
        <w:t>3</w:t>
      </w:r>
      <w:r w:rsidR="006A54D3">
        <w:rPr>
          <w:sz w:val="28"/>
          <w:szCs w:val="28"/>
        </w:rPr>
        <w:t xml:space="preserve"> год и </w:t>
      </w:r>
      <w:r w:rsidR="00F66225">
        <w:rPr>
          <w:sz w:val="28"/>
          <w:szCs w:val="28"/>
        </w:rPr>
        <w:t xml:space="preserve">на </w:t>
      </w:r>
      <w:r w:rsidR="006A54D3">
        <w:rPr>
          <w:sz w:val="28"/>
          <w:szCs w:val="28"/>
        </w:rPr>
        <w:t>плановый период 202</w:t>
      </w:r>
      <w:r w:rsidR="003E2E0F">
        <w:rPr>
          <w:sz w:val="28"/>
          <w:szCs w:val="28"/>
        </w:rPr>
        <w:t>4</w:t>
      </w:r>
      <w:r w:rsidR="006A54D3">
        <w:rPr>
          <w:sz w:val="28"/>
          <w:szCs w:val="28"/>
        </w:rPr>
        <w:t xml:space="preserve"> и 202</w:t>
      </w:r>
      <w:r w:rsidR="003E2E0F">
        <w:rPr>
          <w:sz w:val="28"/>
          <w:szCs w:val="28"/>
        </w:rPr>
        <w:t>5</w:t>
      </w:r>
      <w:r w:rsidR="006A54D3">
        <w:rPr>
          <w:sz w:val="28"/>
          <w:szCs w:val="28"/>
        </w:rPr>
        <w:t xml:space="preserve"> </w:t>
      </w:r>
      <w:r w:rsidRPr="00D179E2">
        <w:rPr>
          <w:sz w:val="28"/>
          <w:szCs w:val="28"/>
        </w:rPr>
        <w:t>годов;</w:t>
      </w:r>
    </w:p>
    <w:p w:rsidR="00590600" w:rsidRPr="00D179E2" w:rsidRDefault="00590600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пояснительная записка к проекту решения о бюджете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на </w:t>
      </w:r>
      <w:r w:rsidR="006A54D3">
        <w:rPr>
          <w:sz w:val="28"/>
          <w:szCs w:val="28"/>
        </w:rPr>
        <w:t>202</w:t>
      </w:r>
      <w:r w:rsidR="003E2E0F">
        <w:rPr>
          <w:sz w:val="28"/>
          <w:szCs w:val="28"/>
        </w:rPr>
        <w:t>3</w:t>
      </w:r>
      <w:r w:rsidR="006A54D3">
        <w:rPr>
          <w:sz w:val="28"/>
          <w:szCs w:val="28"/>
        </w:rPr>
        <w:t xml:space="preserve"> год и плановый период 202</w:t>
      </w:r>
      <w:r w:rsidR="003E2E0F">
        <w:rPr>
          <w:sz w:val="28"/>
          <w:szCs w:val="28"/>
        </w:rPr>
        <w:t>4</w:t>
      </w:r>
      <w:r w:rsidR="006A54D3">
        <w:rPr>
          <w:sz w:val="28"/>
          <w:szCs w:val="28"/>
        </w:rPr>
        <w:t xml:space="preserve"> и 202</w:t>
      </w:r>
      <w:r w:rsidR="003E2E0F">
        <w:rPr>
          <w:sz w:val="28"/>
          <w:szCs w:val="28"/>
        </w:rPr>
        <w:t>5</w:t>
      </w:r>
      <w:r w:rsidR="006A54D3">
        <w:rPr>
          <w:sz w:val="28"/>
          <w:szCs w:val="28"/>
        </w:rPr>
        <w:t xml:space="preserve"> </w:t>
      </w:r>
      <w:r w:rsidRPr="00D179E2">
        <w:rPr>
          <w:sz w:val="28"/>
          <w:szCs w:val="28"/>
        </w:rPr>
        <w:t>годов;</w:t>
      </w:r>
    </w:p>
    <w:p w:rsidR="00590600" w:rsidRPr="00B4666D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B4666D">
        <w:rPr>
          <w:sz w:val="28"/>
          <w:szCs w:val="28"/>
        </w:rPr>
        <w:t xml:space="preserve">верхний предел муниципального долга </w:t>
      </w:r>
      <w:r w:rsidR="00BF1776" w:rsidRPr="00B4666D">
        <w:rPr>
          <w:sz w:val="28"/>
          <w:szCs w:val="28"/>
        </w:rPr>
        <w:t>Буранного</w:t>
      </w:r>
      <w:r w:rsidRPr="00B4666D">
        <w:rPr>
          <w:sz w:val="28"/>
          <w:szCs w:val="28"/>
        </w:rPr>
        <w:t xml:space="preserve"> сельского поселения на 01.01.</w:t>
      </w:r>
      <w:r w:rsidR="00314465" w:rsidRPr="00B4666D">
        <w:rPr>
          <w:sz w:val="28"/>
          <w:szCs w:val="28"/>
        </w:rPr>
        <w:t>20</w:t>
      </w:r>
      <w:r w:rsidR="00A2027D" w:rsidRPr="00B4666D">
        <w:rPr>
          <w:sz w:val="28"/>
          <w:szCs w:val="28"/>
        </w:rPr>
        <w:t>2</w:t>
      </w:r>
      <w:r w:rsidR="003E2E0F">
        <w:rPr>
          <w:sz w:val="28"/>
          <w:szCs w:val="28"/>
        </w:rPr>
        <w:t>4</w:t>
      </w:r>
      <w:r w:rsidRPr="00B4666D">
        <w:rPr>
          <w:sz w:val="28"/>
          <w:szCs w:val="28"/>
        </w:rPr>
        <w:t xml:space="preserve"> год</w:t>
      </w:r>
      <w:r w:rsidR="00B4666D" w:rsidRPr="00B4666D">
        <w:rPr>
          <w:sz w:val="28"/>
          <w:szCs w:val="28"/>
        </w:rPr>
        <w:t>а</w:t>
      </w:r>
      <w:r w:rsidRPr="00B4666D">
        <w:rPr>
          <w:sz w:val="28"/>
          <w:szCs w:val="28"/>
        </w:rPr>
        <w:t xml:space="preserve"> -</w:t>
      </w:r>
      <w:r w:rsidR="00F6279B" w:rsidRPr="00B4666D">
        <w:rPr>
          <w:sz w:val="28"/>
          <w:szCs w:val="28"/>
        </w:rPr>
        <w:t>2</w:t>
      </w:r>
      <w:r w:rsidR="003E2E0F">
        <w:rPr>
          <w:sz w:val="28"/>
          <w:szCs w:val="28"/>
        </w:rPr>
        <w:t>84</w:t>
      </w:r>
      <w:r w:rsidR="006A54D3" w:rsidRPr="00B4666D">
        <w:rPr>
          <w:sz w:val="28"/>
          <w:szCs w:val="28"/>
        </w:rPr>
        <w:t>,00</w:t>
      </w:r>
      <w:r w:rsidRPr="00B4666D">
        <w:rPr>
          <w:sz w:val="28"/>
          <w:szCs w:val="28"/>
        </w:rPr>
        <w:t xml:space="preserve"> тыс.</w:t>
      </w:r>
      <w:r w:rsidR="00236BBB" w:rsidRPr="00B4666D">
        <w:rPr>
          <w:sz w:val="28"/>
          <w:szCs w:val="28"/>
        </w:rPr>
        <w:t xml:space="preserve"> </w:t>
      </w:r>
      <w:r w:rsidRPr="00B4666D">
        <w:rPr>
          <w:sz w:val="28"/>
          <w:szCs w:val="28"/>
        </w:rPr>
        <w:t>руб., на 01.01.202</w:t>
      </w:r>
      <w:r w:rsidR="003E2E0F">
        <w:rPr>
          <w:sz w:val="28"/>
          <w:szCs w:val="28"/>
        </w:rPr>
        <w:t>5</w:t>
      </w:r>
      <w:r w:rsidRPr="00B4666D">
        <w:rPr>
          <w:sz w:val="28"/>
          <w:szCs w:val="28"/>
        </w:rPr>
        <w:t xml:space="preserve"> год</w:t>
      </w:r>
      <w:r w:rsidR="00B4666D" w:rsidRPr="00B4666D">
        <w:rPr>
          <w:sz w:val="28"/>
          <w:szCs w:val="28"/>
        </w:rPr>
        <w:t>а</w:t>
      </w:r>
      <w:r w:rsidRPr="00B4666D">
        <w:rPr>
          <w:sz w:val="28"/>
          <w:szCs w:val="28"/>
        </w:rPr>
        <w:t xml:space="preserve"> – </w:t>
      </w:r>
      <w:r w:rsidR="00F6279B" w:rsidRPr="00B4666D">
        <w:rPr>
          <w:sz w:val="28"/>
          <w:szCs w:val="28"/>
        </w:rPr>
        <w:t>2</w:t>
      </w:r>
      <w:r w:rsidR="003E2E0F">
        <w:rPr>
          <w:sz w:val="28"/>
          <w:szCs w:val="28"/>
        </w:rPr>
        <w:t>89</w:t>
      </w:r>
      <w:r w:rsidR="00F6279B" w:rsidRPr="00B4666D">
        <w:rPr>
          <w:sz w:val="28"/>
          <w:szCs w:val="28"/>
        </w:rPr>
        <w:t>,</w:t>
      </w:r>
      <w:r w:rsidR="00C42FB3" w:rsidRPr="00B4666D">
        <w:rPr>
          <w:sz w:val="28"/>
          <w:szCs w:val="28"/>
        </w:rPr>
        <w:t>00</w:t>
      </w:r>
      <w:r w:rsidRPr="00B4666D">
        <w:rPr>
          <w:sz w:val="28"/>
          <w:szCs w:val="28"/>
        </w:rPr>
        <w:t xml:space="preserve"> тыс.</w:t>
      </w:r>
      <w:r w:rsidR="00236BBB" w:rsidRPr="00B4666D">
        <w:rPr>
          <w:sz w:val="28"/>
          <w:szCs w:val="28"/>
        </w:rPr>
        <w:t xml:space="preserve"> </w:t>
      </w:r>
      <w:r w:rsidRPr="00B4666D">
        <w:rPr>
          <w:sz w:val="28"/>
          <w:szCs w:val="28"/>
        </w:rPr>
        <w:t>руб., на 01.01.202</w:t>
      </w:r>
      <w:r w:rsidR="003E2E0F">
        <w:rPr>
          <w:sz w:val="28"/>
          <w:szCs w:val="28"/>
        </w:rPr>
        <w:t>6</w:t>
      </w:r>
      <w:r w:rsidRPr="00B4666D">
        <w:rPr>
          <w:sz w:val="28"/>
          <w:szCs w:val="28"/>
        </w:rPr>
        <w:t xml:space="preserve"> год</w:t>
      </w:r>
      <w:r w:rsidR="00B4666D" w:rsidRPr="00B4666D">
        <w:rPr>
          <w:sz w:val="28"/>
          <w:szCs w:val="28"/>
        </w:rPr>
        <w:t>а</w:t>
      </w:r>
      <w:r w:rsidRPr="00B4666D">
        <w:rPr>
          <w:sz w:val="28"/>
          <w:szCs w:val="28"/>
        </w:rPr>
        <w:t xml:space="preserve"> – </w:t>
      </w:r>
      <w:r w:rsidR="003E2E0F">
        <w:rPr>
          <w:sz w:val="28"/>
          <w:szCs w:val="28"/>
        </w:rPr>
        <w:t>3</w:t>
      </w:r>
      <w:r w:rsidR="00B4666D" w:rsidRPr="00B4666D">
        <w:rPr>
          <w:sz w:val="28"/>
          <w:szCs w:val="28"/>
        </w:rPr>
        <w:t>0</w:t>
      </w:r>
      <w:r w:rsidR="003E2E0F">
        <w:rPr>
          <w:sz w:val="28"/>
          <w:szCs w:val="28"/>
        </w:rPr>
        <w:t>7</w:t>
      </w:r>
      <w:r w:rsidR="00C42FB3" w:rsidRPr="00B4666D">
        <w:rPr>
          <w:sz w:val="28"/>
          <w:szCs w:val="28"/>
        </w:rPr>
        <w:t>,00</w:t>
      </w:r>
      <w:r w:rsidRPr="00B4666D">
        <w:rPr>
          <w:sz w:val="28"/>
          <w:szCs w:val="28"/>
        </w:rPr>
        <w:t xml:space="preserve"> тыс.</w:t>
      </w:r>
      <w:r w:rsidR="00236BBB" w:rsidRPr="00B4666D">
        <w:rPr>
          <w:sz w:val="28"/>
          <w:szCs w:val="28"/>
        </w:rPr>
        <w:t xml:space="preserve"> </w:t>
      </w:r>
      <w:r w:rsidRPr="00B4666D">
        <w:rPr>
          <w:sz w:val="28"/>
          <w:szCs w:val="28"/>
        </w:rPr>
        <w:t>руб.;</w:t>
      </w:r>
    </w:p>
    <w:p w:rsidR="006953EF" w:rsidRPr="00D179E2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бюджетный прогноз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на долгосрочный период до 202</w:t>
      </w:r>
      <w:r w:rsidR="003E2E0F">
        <w:rPr>
          <w:sz w:val="28"/>
          <w:szCs w:val="28"/>
        </w:rPr>
        <w:t>6</w:t>
      </w:r>
      <w:r w:rsidRPr="00D179E2">
        <w:rPr>
          <w:sz w:val="28"/>
          <w:szCs w:val="28"/>
        </w:rPr>
        <w:t xml:space="preserve"> года;</w:t>
      </w:r>
    </w:p>
    <w:p w:rsidR="006953EF" w:rsidRPr="00D179E2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реестр источников доходов бюджета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на </w:t>
      </w:r>
      <w:r w:rsidR="00314465" w:rsidRPr="00D179E2">
        <w:rPr>
          <w:sz w:val="28"/>
          <w:szCs w:val="28"/>
        </w:rPr>
        <w:t>20</w:t>
      </w:r>
      <w:r w:rsidR="006A54D3">
        <w:rPr>
          <w:sz w:val="28"/>
          <w:szCs w:val="28"/>
        </w:rPr>
        <w:t>2</w:t>
      </w:r>
      <w:r w:rsidR="003E2E0F">
        <w:rPr>
          <w:sz w:val="28"/>
          <w:szCs w:val="28"/>
        </w:rPr>
        <w:t>3</w:t>
      </w:r>
      <w:r w:rsidRPr="00D179E2">
        <w:rPr>
          <w:sz w:val="28"/>
          <w:szCs w:val="28"/>
        </w:rPr>
        <w:t xml:space="preserve"> год и </w:t>
      </w:r>
      <w:r w:rsidR="00F66225">
        <w:rPr>
          <w:sz w:val="28"/>
          <w:szCs w:val="28"/>
        </w:rPr>
        <w:t xml:space="preserve">на </w:t>
      </w:r>
      <w:r w:rsidRPr="00D179E2">
        <w:rPr>
          <w:sz w:val="28"/>
          <w:szCs w:val="28"/>
        </w:rPr>
        <w:t xml:space="preserve">плановый период </w:t>
      </w:r>
      <w:r w:rsidR="00314465" w:rsidRPr="00D179E2">
        <w:rPr>
          <w:sz w:val="28"/>
          <w:szCs w:val="28"/>
        </w:rPr>
        <w:t>202</w:t>
      </w:r>
      <w:r w:rsidR="003E2E0F">
        <w:rPr>
          <w:sz w:val="28"/>
          <w:szCs w:val="28"/>
        </w:rPr>
        <w:t>4</w:t>
      </w:r>
      <w:r w:rsidRPr="00D179E2">
        <w:rPr>
          <w:sz w:val="28"/>
          <w:szCs w:val="28"/>
        </w:rPr>
        <w:t xml:space="preserve"> и 202</w:t>
      </w:r>
      <w:r w:rsidR="003E2E0F">
        <w:rPr>
          <w:sz w:val="28"/>
          <w:szCs w:val="28"/>
        </w:rPr>
        <w:t>5</w:t>
      </w:r>
      <w:r w:rsidRPr="00D179E2">
        <w:rPr>
          <w:sz w:val="28"/>
          <w:szCs w:val="28"/>
        </w:rPr>
        <w:t xml:space="preserve"> годов;</w:t>
      </w:r>
    </w:p>
    <w:p w:rsidR="006953EF" w:rsidRPr="00D179E2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паспорт муниципальной программы «Развитие местного самоуправления и решение вопросов местного значения в </w:t>
      </w:r>
      <w:r w:rsidR="00BF1776" w:rsidRPr="00D179E2">
        <w:rPr>
          <w:sz w:val="28"/>
          <w:szCs w:val="28"/>
        </w:rPr>
        <w:t>Буранном</w:t>
      </w:r>
      <w:r w:rsidRPr="00D179E2">
        <w:rPr>
          <w:sz w:val="28"/>
          <w:szCs w:val="28"/>
        </w:rPr>
        <w:t xml:space="preserve"> сельском поселении  на </w:t>
      </w:r>
      <w:r w:rsidR="00314465" w:rsidRPr="00D179E2">
        <w:rPr>
          <w:sz w:val="28"/>
          <w:szCs w:val="28"/>
        </w:rPr>
        <w:t>20</w:t>
      </w:r>
      <w:r w:rsidR="006A54D3">
        <w:rPr>
          <w:sz w:val="28"/>
          <w:szCs w:val="28"/>
        </w:rPr>
        <w:t>2</w:t>
      </w:r>
      <w:r w:rsidR="003E2E0F">
        <w:rPr>
          <w:sz w:val="28"/>
          <w:szCs w:val="28"/>
        </w:rPr>
        <w:t>3</w:t>
      </w:r>
      <w:r w:rsidRPr="00D179E2">
        <w:rPr>
          <w:sz w:val="28"/>
          <w:szCs w:val="28"/>
        </w:rPr>
        <w:t xml:space="preserve"> год и </w:t>
      </w:r>
      <w:r w:rsidR="00F66225">
        <w:rPr>
          <w:sz w:val="28"/>
          <w:szCs w:val="28"/>
        </w:rPr>
        <w:t xml:space="preserve">на </w:t>
      </w:r>
      <w:r w:rsidRPr="00D179E2">
        <w:rPr>
          <w:sz w:val="28"/>
          <w:szCs w:val="28"/>
        </w:rPr>
        <w:t xml:space="preserve">плановый период </w:t>
      </w:r>
      <w:r w:rsidR="00314465" w:rsidRPr="00D179E2">
        <w:rPr>
          <w:sz w:val="28"/>
          <w:szCs w:val="28"/>
        </w:rPr>
        <w:t>202</w:t>
      </w:r>
      <w:r w:rsidR="003E2E0F">
        <w:rPr>
          <w:sz w:val="28"/>
          <w:szCs w:val="28"/>
        </w:rPr>
        <w:t>4</w:t>
      </w:r>
      <w:r w:rsidR="00F6279B">
        <w:rPr>
          <w:sz w:val="28"/>
          <w:szCs w:val="28"/>
        </w:rPr>
        <w:t xml:space="preserve"> и </w:t>
      </w:r>
      <w:r w:rsidRPr="00D179E2">
        <w:rPr>
          <w:sz w:val="28"/>
          <w:szCs w:val="28"/>
        </w:rPr>
        <w:t>202</w:t>
      </w:r>
      <w:r w:rsidR="003E2E0F">
        <w:rPr>
          <w:sz w:val="28"/>
          <w:szCs w:val="28"/>
        </w:rPr>
        <w:t>5</w:t>
      </w:r>
      <w:r w:rsidRPr="00D179E2">
        <w:rPr>
          <w:sz w:val="28"/>
          <w:szCs w:val="28"/>
        </w:rPr>
        <w:t xml:space="preserve"> г</w:t>
      </w:r>
      <w:r w:rsidR="00F66225">
        <w:rPr>
          <w:sz w:val="28"/>
          <w:szCs w:val="28"/>
        </w:rPr>
        <w:t>одов</w:t>
      </w:r>
      <w:r w:rsidRPr="00D179E2">
        <w:rPr>
          <w:sz w:val="28"/>
          <w:szCs w:val="28"/>
        </w:rPr>
        <w:t>»</w:t>
      </w:r>
      <w:r w:rsidR="00F66225">
        <w:rPr>
          <w:sz w:val="28"/>
          <w:szCs w:val="28"/>
        </w:rPr>
        <w:t>;</w:t>
      </w:r>
    </w:p>
    <w:p w:rsidR="006953EF" w:rsidRDefault="006953EF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оценка ожидаемого исполнения бюджета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на </w:t>
      </w:r>
      <w:r w:rsidR="009D5CCE" w:rsidRPr="00D179E2">
        <w:rPr>
          <w:sz w:val="28"/>
          <w:szCs w:val="28"/>
        </w:rPr>
        <w:t>20</w:t>
      </w:r>
      <w:r w:rsidR="004F3E29">
        <w:rPr>
          <w:sz w:val="28"/>
          <w:szCs w:val="28"/>
        </w:rPr>
        <w:t>2</w:t>
      </w:r>
      <w:r w:rsidR="003E2E0F">
        <w:rPr>
          <w:sz w:val="28"/>
          <w:szCs w:val="28"/>
        </w:rPr>
        <w:t>2</w:t>
      </w:r>
      <w:r w:rsidRPr="00D179E2">
        <w:rPr>
          <w:sz w:val="28"/>
          <w:szCs w:val="28"/>
        </w:rPr>
        <w:t xml:space="preserve"> год;</w:t>
      </w:r>
    </w:p>
    <w:p w:rsidR="009E15AD" w:rsidRDefault="00D65EE1" w:rsidP="009E15AD">
      <w:pPr>
        <w:numPr>
          <w:ilvl w:val="0"/>
          <w:numId w:val="23"/>
        </w:numPr>
        <w:jc w:val="both"/>
        <w:rPr>
          <w:sz w:val="28"/>
          <w:szCs w:val="28"/>
        </w:rPr>
      </w:pPr>
      <w:r w:rsidRPr="008C00BA">
        <w:rPr>
          <w:sz w:val="28"/>
          <w:szCs w:val="28"/>
        </w:rPr>
        <w:t>решение Совета депутатов Буранного сельского поселения от 2</w:t>
      </w:r>
      <w:r w:rsidR="008C00BA" w:rsidRPr="008C00BA">
        <w:rPr>
          <w:sz w:val="28"/>
          <w:szCs w:val="28"/>
        </w:rPr>
        <w:t>6</w:t>
      </w:r>
      <w:r w:rsidRPr="008C00BA">
        <w:rPr>
          <w:sz w:val="28"/>
          <w:szCs w:val="28"/>
        </w:rPr>
        <w:t>.1</w:t>
      </w:r>
      <w:r w:rsidR="008C00BA" w:rsidRPr="008C00BA">
        <w:rPr>
          <w:sz w:val="28"/>
          <w:szCs w:val="28"/>
        </w:rPr>
        <w:t>0</w:t>
      </w:r>
      <w:r w:rsidRPr="008C00BA">
        <w:rPr>
          <w:sz w:val="28"/>
          <w:szCs w:val="28"/>
        </w:rPr>
        <w:t>.20</w:t>
      </w:r>
      <w:r w:rsidR="00F371CC" w:rsidRPr="008C00BA">
        <w:rPr>
          <w:sz w:val="28"/>
          <w:szCs w:val="28"/>
        </w:rPr>
        <w:t>2</w:t>
      </w:r>
      <w:r w:rsidR="008C00BA" w:rsidRPr="008C00BA">
        <w:rPr>
          <w:sz w:val="28"/>
          <w:szCs w:val="28"/>
        </w:rPr>
        <w:t>2</w:t>
      </w:r>
      <w:r w:rsidRPr="008C00BA">
        <w:rPr>
          <w:sz w:val="28"/>
          <w:szCs w:val="28"/>
        </w:rPr>
        <w:t xml:space="preserve">г. </w:t>
      </w:r>
      <w:r w:rsidR="008C00BA" w:rsidRPr="008C00BA">
        <w:rPr>
          <w:sz w:val="28"/>
          <w:szCs w:val="28"/>
        </w:rPr>
        <w:t xml:space="preserve">№ </w:t>
      </w:r>
      <w:r w:rsidR="00F371CC" w:rsidRPr="008C00BA">
        <w:rPr>
          <w:sz w:val="28"/>
          <w:szCs w:val="28"/>
        </w:rPr>
        <w:t>1</w:t>
      </w:r>
      <w:r w:rsidR="008C00BA" w:rsidRPr="008C00BA">
        <w:rPr>
          <w:sz w:val="28"/>
          <w:szCs w:val="28"/>
        </w:rPr>
        <w:t>21</w:t>
      </w:r>
      <w:r w:rsidR="00F371CC" w:rsidRPr="008C00BA">
        <w:rPr>
          <w:sz w:val="28"/>
          <w:szCs w:val="28"/>
        </w:rPr>
        <w:t xml:space="preserve"> «О</w:t>
      </w:r>
      <w:r w:rsidR="008C00BA" w:rsidRPr="008C00BA">
        <w:rPr>
          <w:sz w:val="28"/>
          <w:szCs w:val="28"/>
        </w:rPr>
        <w:t xml:space="preserve">б утверждении </w:t>
      </w:r>
      <w:r w:rsidR="00F371CC" w:rsidRPr="008C00BA">
        <w:rPr>
          <w:sz w:val="28"/>
          <w:szCs w:val="28"/>
        </w:rPr>
        <w:t>Положения «Об оплате труда выборных должностных лиц местного самоуправления, осуществляющих свои полномочия на постоянной основе, и муниципальных служащих Буранного сельского поселения»</w:t>
      </w:r>
      <w:r w:rsidR="009E15AD" w:rsidRPr="008C00BA">
        <w:rPr>
          <w:sz w:val="28"/>
          <w:szCs w:val="28"/>
        </w:rPr>
        <w:t>;</w:t>
      </w:r>
    </w:p>
    <w:p w:rsidR="008C00BA" w:rsidRPr="008C00BA" w:rsidRDefault="008C00BA" w:rsidP="008C00BA">
      <w:pPr>
        <w:numPr>
          <w:ilvl w:val="0"/>
          <w:numId w:val="23"/>
        </w:numPr>
        <w:jc w:val="both"/>
        <w:rPr>
          <w:sz w:val="28"/>
          <w:szCs w:val="28"/>
        </w:rPr>
      </w:pPr>
      <w:r w:rsidRPr="008C00BA">
        <w:rPr>
          <w:sz w:val="28"/>
          <w:szCs w:val="28"/>
        </w:rPr>
        <w:t xml:space="preserve">постановление Администрации Буранного сельского поселения от 02.08.2022 г. № 251 «О внесении изменений в постановление администрации  Буранного сельского поселения от 03.02.2020 г. №  10/1 </w:t>
      </w:r>
    </w:p>
    <w:p w:rsidR="008C00BA" w:rsidRPr="008C00BA" w:rsidRDefault="008C00BA" w:rsidP="008C00BA">
      <w:pPr>
        <w:numPr>
          <w:ilvl w:val="0"/>
          <w:numId w:val="23"/>
        </w:numPr>
        <w:jc w:val="both"/>
        <w:rPr>
          <w:sz w:val="28"/>
          <w:szCs w:val="28"/>
        </w:rPr>
      </w:pPr>
      <w:r w:rsidRPr="008C00BA">
        <w:rPr>
          <w:sz w:val="28"/>
          <w:szCs w:val="28"/>
        </w:rPr>
        <w:t xml:space="preserve">«Об оплате труда работников, занимающих должности, не отнесенные   к должностям муниципальной службы  и  осуществляющих  техническое обеспечение деятельности органов местного самоуправления Буранного сельского поселения»; </w:t>
      </w:r>
    </w:p>
    <w:p w:rsidR="009E15AD" w:rsidRPr="008C00BA" w:rsidRDefault="009E15AD" w:rsidP="009E15AD">
      <w:pPr>
        <w:numPr>
          <w:ilvl w:val="0"/>
          <w:numId w:val="23"/>
        </w:numPr>
        <w:jc w:val="both"/>
        <w:rPr>
          <w:sz w:val="28"/>
          <w:szCs w:val="28"/>
        </w:rPr>
      </w:pPr>
      <w:r w:rsidRPr="008C00BA">
        <w:rPr>
          <w:sz w:val="28"/>
          <w:szCs w:val="28"/>
        </w:rPr>
        <w:t>постановление Администрации Бу</w:t>
      </w:r>
      <w:r w:rsidR="008C00BA" w:rsidRPr="008C00BA">
        <w:rPr>
          <w:sz w:val="28"/>
          <w:szCs w:val="28"/>
        </w:rPr>
        <w:t>ранного сельского поселения от 02.08</w:t>
      </w:r>
      <w:r w:rsidRPr="008C00BA">
        <w:rPr>
          <w:sz w:val="28"/>
          <w:szCs w:val="28"/>
        </w:rPr>
        <w:t>.202</w:t>
      </w:r>
      <w:r w:rsidR="008C00BA" w:rsidRPr="008C00BA">
        <w:rPr>
          <w:sz w:val="28"/>
          <w:szCs w:val="28"/>
        </w:rPr>
        <w:t>2</w:t>
      </w:r>
      <w:r w:rsidRPr="008C00BA">
        <w:rPr>
          <w:sz w:val="28"/>
          <w:szCs w:val="28"/>
        </w:rPr>
        <w:t xml:space="preserve"> г. № </w:t>
      </w:r>
      <w:r w:rsidR="008C00BA" w:rsidRPr="008C00BA">
        <w:rPr>
          <w:sz w:val="28"/>
          <w:szCs w:val="28"/>
        </w:rPr>
        <w:t>252</w:t>
      </w:r>
      <w:r w:rsidRPr="008C00BA">
        <w:rPr>
          <w:sz w:val="28"/>
          <w:szCs w:val="28"/>
        </w:rPr>
        <w:t xml:space="preserve"> </w:t>
      </w:r>
      <w:r w:rsidR="00A80877" w:rsidRPr="008C00BA">
        <w:rPr>
          <w:sz w:val="28"/>
          <w:szCs w:val="28"/>
        </w:rPr>
        <w:t>«</w:t>
      </w:r>
      <w:r w:rsidRPr="008C00BA">
        <w:rPr>
          <w:sz w:val="28"/>
          <w:szCs w:val="28"/>
        </w:rPr>
        <w:t xml:space="preserve">О внесении изменений в постановление администрации  Буранного сельского поселения от 04.02.2020 г. №  11/1 </w:t>
      </w:r>
    </w:p>
    <w:p w:rsidR="009E15AD" w:rsidRPr="008C00BA" w:rsidRDefault="009E15AD" w:rsidP="009E15AD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 w:rsidRPr="008C00BA">
        <w:rPr>
          <w:rFonts w:ascii="Times New Roman" w:hAnsi="Times New Roman"/>
          <w:sz w:val="28"/>
          <w:szCs w:val="28"/>
        </w:rPr>
        <w:t>«Об оплате труда работников, занятых обслуживанием органов местного  самоуправления Буранного сельского поселения»;</w:t>
      </w:r>
    </w:p>
    <w:p w:rsidR="006953EF" w:rsidRDefault="001C6B7B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межбюджетных трансфертов, предоставляемых из бюджета Буранного сельского поселения бюджету Агаповского муниципального района на осуществление части полномочий сельского поселения по благоустройству территории сельского поселения</w:t>
      </w:r>
      <w:r w:rsidR="00F371CC">
        <w:rPr>
          <w:sz w:val="28"/>
          <w:szCs w:val="28"/>
        </w:rPr>
        <w:t>;</w:t>
      </w:r>
    </w:p>
    <w:p w:rsidR="001C6B7B" w:rsidRDefault="001C6B7B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предоставления межбюджетных трансфертов, предоставляемых в соответствии с решением Совета депутатов Буранного сельского поселения из бюджета поселения бюджету Агаповского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551F92" w:rsidRPr="00551F92" w:rsidRDefault="00551F92" w:rsidP="00551F92">
      <w:pPr>
        <w:numPr>
          <w:ilvl w:val="0"/>
          <w:numId w:val="23"/>
        </w:numPr>
        <w:jc w:val="both"/>
        <w:rPr>
          <w:sz w:val="28"/>
          <w:szCs w:val="28"/>
        </w:rPr>
      </w:pPr>
      <w:r w:rsidRPr="00551F92">
        <w:rPr>
          <w:sz w:val="28"/>
          <w:szCs w:val="28"/>
        </w:rPr>
        <w:lastRenderedPageBreak/>
        <w:t xml:space="preserve">перечень главных администраторов доходов бюджета (Постановление Администрации </w:t>
      </w:r>
      <w:r>
        <w:rPr>
          <w:sz w:val="28"/>
          <w:szCs w:val="28"/>
        </w:rPr>
        <w:t>Буранного сельского поселения от 2</w:t>
      </w:r>
      <w:r w:rsidRPr="00551F92">
        <w:rPr>
          <w:sz w:val="28"/>
          <w:szCs w:val="28"/>
        </w:rPr>
        <w:t>1.1</w:t>
      </w:r>
      <w:r>
        <w:rPr>
          <w:sz w:val="28"/>
          <w:szCs w:val="28"/>
        </w:rPr>
        <w:t>0.2022г. №287</w:t>
      </w:r>
      <w:r w:rsidRPr="00551F92">
        <w:rPr>
          <w:sz w:val="28"/>
          <w:szCs w:val="28"/>
        </w:rPr>
        <w:t>)</w:t>
      </w:r>
      <w:proofErr w:type="gramStart"/>
      <w:r w:rsidRPr="00551F92">
        <w:rPr>
          <w:sz w:val="28"/>
          <w:szCs w:val="28"/>
        </w:rPr>
        <w:t xml:space="preserve"> ;</w:t>
      </w:r>
      <w:proofErr w:type="gramEnd"/>
    </w:p>
    <w:p w:rsidR="00551F92" w:rsidRPr="00551F92" w:rsidRDefault="00551F92" w:rsidP="00551F92">
      <w:pPr>
        <w:numPr>
          <w:ilvl w:val="0"/>
          <w:numId w:val="23"/>
        </w:numPr>
        <w:jc w:val="both"/>
        <w:rPr>
          <w:sz w:val="28"/>
          <w:szCs w:val="28"/>
        </w:rPr>
      </w:pPr>
      <w:r w:rsidRPr="00551F92">
        <w:rPr>
          <w:sz w:val="28"/>
          <w:szCs w:val="28"/>
        </w:rPr>
        <w:t>перечень главных администраторов источников финансирования дефицита бюджета (Постановление Администрации Буранного сельского поселения от 21.10.2022г. №287)</w:t>
      </w:r>
      <w:r>
        <w:rPr>
          <w:sz w:val="28"/>
          <w:szCs w:val="28"/>
        </w:rPr>
        <w:t>;</w:t>
      </w:r>
    </w:p>
    <w:p w:rsidR="00F371CC" w:rsidRPr="00F371CC" w:rsidRDefault="00F371CC" w:rsidP="00682650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реестр расходных обязательств Буранного сельского поселения.</w:t>
      </w:r>
    </w:p>
    <w:p w:rsidR="00931050" w:rsidRPr="008A180B" w:rsidRDefault="00682650" w:rsidP="00931050">
      <w:pPr>
        <w:pStyle w:val="10"/>
        <w:rPr>
          <w:color w:val="FF0000"/>
          <w:szCs w:val="28"/>
        </w:rPr>
      </w:pPr>
      <w:r w:rsidRPr="00D179E2">
        <w:rPr>
          <w:szCs w:val="28"/>
        </w:rPr>
        <w:t xml:space="preserve">Проект решения «О бюджете </w:t>
      </w:r>
      <w:r w:rsidR="00BF1776" w:rsidRPr="00D179E2">
        <w:rPr>
          <w:szCs w:val="28"/>
        </w:rPr>
        <w:t>Буранного</w:t>
      </w:r>
      <w:r w:rsidR="00DC0F2A" w:rsidRPr="00D179E2">
        <w:rPr>
          <w:szCs w:val="28"/>
        </w:rPr>
        <w:t xml:space="preserve"> сельского поселения </w:t>
      </w:r>
      <w:r w:rsidRPr="00D179E2">
        <w:rPr>
          <w:szCs w:val="28"/>
        </w:rPr>
        <w:t xml:space="preserve">на </w:t>
      </w:r>
      <w:r w:rsidR="006A54D3">
        <w:rPr>
          <w:szCs w:val="28"/>
        </w:rPr>
        <w:t>202</w:t>
      </w:r>
      <w:r w:rsidR="00921EF5">
        <w:rPr>
          <w:szCs w:val="28"/>
        </w:rPr>
        <w:t>3</w:t>
      </w:r>
      <w:r w:rsidR="006A54D3">
        <w:rPr>
          <w:szCs w:val="28"/>
        </w:rPr>
        <w:t xml:space="preserve"> год и плановый период 202</w:t>
      </w:r>
      <w:r w:rsidR="00921EF5">
        <w:rPr>
          <w:szCs w:val="28"/>
        </w:rPr>
        <w:t>4</w:t>
      </w:r>
      <w:r w:rsidR="006A54D3">
        <w:rPr>
          <w:szCs w:val="28"/>
        </w:rPr>
        <w:t xml:space="preserve"> и 202</w:t>
      </w:r>
      <w:r w:rsidR="00921EF5">
        <w:rPr>
          <w:szCs w:val="28"/>
        </w:rPr>
        <w:t>5</w:t>
      </w:r>
      <w:r w:rsidR="006A54D3">
        <w:rPr>
          <w:szCs w:val="28"/>
        </w:rPr>
        <w:t xml:space="preserve"> </w:t>
      </w:r>
      <w:r w:rsidR="00E709FB" w:rsidRPr="00D179E2">
        <w:rPr>
          <w:szCs w:val="28"/>
        </w:rPr>
        <w:t>годов</w:t>
      </w:r>
      <w:r w:rsidRPr="00D179E2">
        <w:rPr>
          <w:szCs w:val="28"/>
        </w:rPr>
        <w:t>»</w:t>
      </w:r>
      <w:r w:rsidR="00650AE5" w:rsidRPr="00D179E2">
        <w:rPr>
          <w:szCs w:val="28"/>
        </w:rPr>
        <w:t xml:space="preserve"> (далее-</w:t>
      </w:r>
      <w:r w:rsidR="00A64B68" w:rsidRPr="00D179E2">
        <w:rPr>
          <w:szCs w:val="28"/>
        </w:rPr>
        <w:t>П</w:t>
      </w:r>
      <w:r w:rsidR="00650AE5" w:rsidRPr="00D179E2">
        <w:rPr>
          <w:szCs w:val="28"/>
        </w:rPr>
        <w:t>роект</w:t>
      </w:r>
      <w:r w:rsidR="00107C47" w:rsidRPr="00D179E2">
        <w:rPr>
          <w:szCs w:val="28"/>
        </w:rPr>
        <w:t>, Проект бюджета</w:t>
      </w:r>
      <w:r w:rsidR="00650AE5" w:rsidRPr="00D179E2">
        <w:rPr>
          <w:szCs w:val="28"/>
        </w:rPr>
        <w:t>)</w:t>
      </w:r>
      <w:r w:rsidRPr="00D179E2">
        <w:rPr>
          <w:szCs w:val="28"/>
        </w:rPr>
        <w:t xml:space="preserve"> представлен </w:t>
      </w:r>
      <w:proofErr w:type="gramStart"/>
      <w:r w:rsidR="008817B4" w:rsidRPr="00D179E2">
        <w:rPr>
          <w:szCs w:val="28"/>
        </w:rPr>
        <w:t xml:space="preserve">согласно </w:t>
      </w:r>
      <w:r w:rsidR="00E32A36" w:rsidRPr="00D179E2">
        <w:rPr>
          <w:szCs w:val="28"/>
        </w:rPr>
        <w:t>решения</w:t>
      </w:r>
      <w:proofErr w:type="gramEnd"/>
      <w:r w:rsidR="00E32A36" w:rsidRPr="00D179E2">
        <w:rPr>
          <w:szCs w:val="28"/>
        </w:rPr>
        <w:t xml:space="preserve"> С</w:t>
      </w:r>
      <w:r w:rsidR="00DC0F2A" w:rsidRPr="00D179E2">
        <w:rPr>
          <w:szCs w:val="28"/>
        </w:rPr>
        <w:t xml:space="preserve">овета депутатов </w:t>
      </w:r>
      <w:r w:rsidR="00BF1776" w:rsidRPr="00D179E2">
        <w:rPr>
          <w:szCs w:val="28"/>
        </w:rPr>
        <w:t>Буранного</w:t>
      </w:r>
      <w:r w:rsidR="00DC0F2A" w:rsidRPr="00D179E2">
        <w:rPr>
          <w:szCs w:val="28"/>
        </w:rPr>
        <w:t xml:space="preserve"> сельского поселения</w:t>
      </w:r>
      <w:r w:rsidR="00E87B34" w:rsidRPr="00D179E2">
        <w:rPr>
          <w:szCs w:val="28"/>
        </w:rPr>
        <w:t xml:space="preserve"> Агаповского муниципального района</w:t>
      </w:r>
      <w:r w:rsidR="008817B4" w:rsidRPr="00D179E2">
        <w:rPr>
          <w:szCs w:val="28"/>
        </w:rPr>
        <w:t xml:space="preserve"> от </w:t>
      </w:r>
      <w:r w:rsidR="00BF1776" w:rsidRPr="00D179E2">
        <w:rPr>
          <w:szCs w:val="28"/>
        </w:rPr>
        <w:t>18</w:t>
      </w:r>
      <w:r w:rsidR="00894CE1" w:rsidRPr="00D179E2">
        <w:rPr>
          <w:szCs w:val="28"/>
        </w:rPr>
        <w:t>.</w:t>
      </w:r>
      <w:r w:rsidR="00BF1776" w:rsidRPr="00D179E2">
        <w:rPr>
          <w:szCs w:val="28"/>
        </w:rPr>
        <w:t>01</w:t>
      </w:r>
      <w:r w:rsidR="008817B4" w:rsidRPr="00D179E2">
        <w:rPr>
          <w:szCs w:val="28"/>
        </w:rPr>
        <w:t>.201</w:t>
      </w:r>
      <w:r w:rsidR="00BF1776" w:rsidRPr="00D179E2">
        <w:rPr>
          <w:szCs w:val="28"/>
        </w:rPr>
        <w:t>7</w:t>
      </w:r>
      <w:r w:rsidR="008817B4" w:rsidRPr="00D179E2">
        <w:rPr>
          <w:szCs w:val="28"/>
        </w:rPr>
        <w:t xml:space="preserve"> г. № </w:t>
      </w:r>
      <w:r w:rsidR="00BF1776" w:rsidRPr="00D179E2">
        <w:rPr>
          <w:szCs w:val="28"/>
        </w:rPr>
        <w:t>76</w:t>
      </w:r>
      <w:r w:rsidR="008817B4" w:rsidRPr="00D179E2">
        <w:rPr>
          <w:szCs w:val="28"/>
        </w:rPr>
        <w:t xml:space="preserve"> «</w:t>
      </w:r>
      <w:r w:rsidR="00DC0F2A" w:rsidRPr="00D179E2">
        <w:rPr>
          <w:szCs w:val="28"/>
        </w:rPr>
        <w:t>О передаче части полномочий по осуществлению внешнего муниципального финансового контроля Контрольно-счетной палате Агаповского муниципального района</w:t>
      </w:r>
      <w:r w:rsidR="00894CE1" w:rsidRPr="00D179E2">
        <w:rPr>
          <w:szCs w:val="28"/>
        </w:rPr>
        <w:t>»</w:t>
      </w:r>
      <w:r w:rsidR="008817B4" w:rsidRPr="00D179E2">
        <w:rPr>
          <w:szCs w:val="28"/>
        </w:rPr>
        <w:t xml:space="preserve">. </w:t>
      </w:r>
    </w:p>
    <w:p w:rsidR="00650AE5" w:rsidRPr="00D179E2" w:rsidRDefault="00650AE5" w:rsidP="00650AE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79E2">
        <w:rPr>
          <w:color w:val="000000" w:themeColor="text1"/>
          <w:sz w:val="28"/>
          <w:szCs w:val="28"/>
        </w:rPr>
        <w:t>Проверкой соблюдения сроков внесения Проекта на рассмотрение представительным органом муниципального образования, предусмотренных статьей 185 БК РФ, и сроков представления Проекта, документов и материалов,</w:t>
      </w:r>
    </w:p>
    <w:p w:rsidR="00650AE5" w:rsidRPr="00D179E2" w:rsidRDefault="00650AE5" w:rsidP="00650AE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179E2">
        <w:rPr>
          <w:color w:val="000000" w:themeColor="text1"/>
          <w:sz w:val="28"/>
          <w:szCs w:val="28"/>
        </w:rPr>
        <w:t xml:space="preserve">представляемых одновременно с ним в </w:t>
      </w:r>
      <w:r w:rsidR="00A64B68" w:rsidRPr="00D179E2">
        <w:rPr>
          <w:color w:val="000000" w:themeColor="text1"/>
          <w:sz w:val="28"/>
          <w:szCs w:val="28"/>
        </w:rPr>
        <w:t xml:space="preserve">Контрольно-счетную палату, нарушений не </w:t>
      </w:r>
      <w:r w:rsidRPr="00D179E2">
        <w:rPr>
          <w:color w:val="000000" w:themeColor="text1"/>
          <w:sz w:val="28"/>
          <w:szCs w:val="28"/>
        </w:rPr>
        <w:t>установлено.</w:t>
      </w:r>
    </w:p>
    <w:p w:rsidR="00B4666D" w:rsidRPr="00B94A24" w:rsidRDefault="00AA558E" w:rsidP="00AA5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A24">
        <w:rPr>
          <w:sz w:val="28"/>
          <w:szCs w:val="28"/>
        </w:rPr>
        <w:t>Прое</w:t>
      </w:r>
      <w:proofErr w:type="gramStart"/>
      <w:r w:rsidRPr="00B94A24">
        <w:rPr>
          <w:sz w:val="28"/>
          <w:szCs w:val="28"/>
        </w:rPr>
        <w:t>кт с пр</w:t>
      </w:r>
      <w:proofErr w:type="gramEnd"/>
      <w:r w:rsidRPr="00B94A24">
        <w:rPr>
          <w:sz w:val="28"/>
          <w:szCs w:val="28"/>
        </w:rPr>
        <w:t xml:space="preserve">иложениями </w:t>
      </w:r>
      <w:r w:rsidR="00DA146B" w:rsidRPr="00B94A24">
        <w:rPr>
          <w:sz w:val="28"/>
          <w:szCs w:val="28"/>
        </w:rPr>
        <w:t xml:space="preserve">не </w:t>
      </w:r>
      <w:r w:rsidRPr="00B94A24">
        <w:rPr>
          <w:sz w:val="28"/>
          <w:szCs w:val="28"/>
        </w:rPr>
        <w:t xml:space="preserve">размещен </w:t>
      </w:r>
      <w:r w:rsidR="00DA146B" w:rsidRPr="00B94A24">
        <w:rPr>
          <w:sz w:val="28"/>
          <w:szCs w:val="28"/>
        </w:rPr>
        <w:t>в средствах массовой информации.</w:t>
      </w:r>
    </w:p>
    <w:p w:rsidR="00B4666D" w:rsidRDefault="00B4666D" w:rsidP="00B4666D">
      <w:pPr>
        <w:pStyle w:val="10"/>
        <w:rPr>
          <w:szCs w:val="28"/>
        </w:rPr>
      </w:pPr>
      <w:r>
        <w:rPr>
          <w:szCs w:val="28"/>
        </w:rPr>
        <w:t>С</w:t>
      </w:r>
      <w:r w:rsidRPr="00A26528">
        <w:rPr>
          <w:szCs w:val="28"/>
        </w:rPr>
        <w:t>о</w:t>
      </w:r>
      <w:r>
        <w:rPr>
          <w:szCs w:val="28"/>
        </w:rPr>
        <w:t>став</w:t>
      </w:r>
      <w:r w:rsidRPr="00A26528">
        <w:rPr>
          <w:szCs w:val="28"/>
        </w:rPr>
        <w:t xml:space="preserve"> документов</w:t>
      </w:r>
      <w:r>
        <w:rPr>
          <w:szCs w:val="28"/>
        </w:rPr>
        <w:t xml:space="preserve"> и материалов</w:t>
      </w:r>
      <w:r w:rsidRPr="00A26528">
        <w:rPr>
          <w:szCs w:val="28"/>
        </w:rPr>
        <w:t xml:space="preserve">, представленных одновременно с Проектом </w:t>
      </w:r>
      <w:r>
        <w:rPr>
          <w:szCs w:val="28"/>
        </w:rPr>
        <w:t>бюджета</w:t>
      </w:r>
      <w:r w:rsidRPr="00A26528">
        <w:rPr>
          <w:szCs w:val="28"/>
        </w:rPr>
        <w:t>, соответству</w:t>
      </w:r>
      <w:r>
        <w:rPr>
          <w:szCs w:val="28"/>
        </w:rPr>
        <w:t>е</w:t>
      </w:r>
      <w:r w:rsidRPr="00A26528">
        <w:rPr>
          <w:szCs w:val="28"/>
        </w:rPr>
        <w:t>т переч</w:t>
      </w:r>
      <w:r>
        <w:rPr>
          <w:szCs w:val="28"/>
        </w:rPr>
        <w:t>ню, установленному</w:t>
      </w:r>
      <w:r w:rsidRPr="00A26528">
        <w:rPr>
          <w:szCs w:val="28"/>
        </w:rPr>
        <w:t xml:space="preserve"> стать</w:t>
      </w:r>
      <w:r>
        <w:rPr>
          <w:szCs w:val="28"/>
        </w:rPr>
        <w:t>ями 184.1,</w:t>
      </w:r>
      <w:r w:rsidRPr="00A26528">
        <w:rPr>
          <w:szCs w:val="28"/>
        </w:rPr>
        <w:t xml:space="preserve"> 184.2 БК РФ и стать</w:t>
      </w:r>
      <w:r>
        <w:rPr>
          <w:szCs w:val="28"/>
        </w:rPr>
        <w:t>ями 43 и</w:t>
      </w:r>
      <w:r w:rsidRPr="008A180B">
        <w:rPr>
          <w:szCs w:val="28"/>
        </w:rPr>
        <w:t xml:space="preserve"> 4</w:t>
      </w:r>
      <w:r>
        <w:rPr>
          <w:szCs w:val="28"/>
        </w:rPr>
        <w:t>5</w:t>
      </w:r>
      <w:r w:rsidRPr="008A180B">
        <w:rPr>
          <w:szCs w:val="28"/>
        </w:rPr>
        <w:t xml:space="preserve"> Положения «О  бюджетном процессе в </w:t>
      </w:r>
      <w:r>
        <w:rPr>
          <w:szCs w:val="28"/>
        </w:rPr>
        <w:t>Буранном</w:t>
      </w:r>
      <w:r w:rsidRPr="008A180B">
        <w:rPr>
          <w:szCs w:val="28"/>
        </w:rPr>
        <w:t xml:space="preserve"> сельском поселении Агаповского муниципального района».</w:t>
      </w:r>
    </w:p>
    <w:p w:rsidR="00B4666D" w:rsidRDefault="00B4666D" w:rsidP="00B4666D">
      <w:pPr>
        <w:pStyle w:val="10"/>
        <w:rPr>
          <w:szCs w:val="28"/>
        </w:rPr>
      </w:pPr>
      <w:r w:rsidRPr="00D06FC8">
        <w:rPr>
          <w:szCs w:val="28"/>
        </w:rPr>
        <w:t>Представленный Проект бюджета составлен сроком на три года (на очередной</w:t>
      </w:r>
      <w:r>
        <w:rPr>
          <w:szCs w:val="28"/>
        </w:rPr>
        <w:t xml:space="preserve"> </w:t>
      </w:r>
      <w:r w:rsidRPr="00D06FC8">
        <w:rPr>
          <w:szCs w:val="28"/>
        </w:rPr>
        <w:t>финансовый год и плановый период), что соответ</w:t>
      </w:r>
      <w:r>
        <w:rPr>
          <w:szCs w:val="28"/>
        </w:rPr>
        <w:t>ствует требованиям части 4 статьи 169 БК РФ и с</w:t>
      </w:r>
      <w:r w:rsidRPr="00D06FC8">
        <w:rPr>
          <w:szCs w:val="28"/>
        </w:rPr>
        <w:t>тать</w:t>
      </w:r>
      <w:r>
        <w:rPr>
          <w:szCs w:val="28"/>
        </w:rPr>
        <w:t>е</w:t>
      </w:r>
      <w:r w:rsidRPr="00D06FC8">
        <w:rPr>
          <w:szCs w:val="28"/>
        </w:rPr>
        <w:t xml:space="preserve"> </w:t>
      </w:r>
      <w:r>
        <w:rPr>
          <w:szCs w:val="28"/>
        </w:rPr>
        <w:t>33</w:t>
      </w:r>
      <w:r w:rsidRPr="00D06FC8">
        <w:rPr>
          <w:szCs w:val="28"/>
        </w:rPr>
        <w:t xml:space="preserve"> Положения о бюджетном процессе</w:t>
      </w:r>
      <w:r>
        <w:rPr>
          <w:szCs w:val="28"/>
        </w:rPr>
        <w:t xml:space="preserve"> в Буранном сельском поселении</w:t>
      </w:r>
      <w:r w:rsidRPr="00D06FC8">
        <w:rPr>
          <w:szCs w:val="28"/>
        </w:rPr>
        <w:t>.</w:t>
      </w:r>
    </w:p>
    <w:p w:rsidR="000A727E" w:rsidRPr="004570B4" w:rsidRDefault="00AA558E" w:rsidP="00B46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406">
        <w:rPr>
          <w:color w:val="000000" w:themeColor="text1"/>
          <w:szCs w:val="28"/>
        </w:rPr>
        <w:t xml:space="preserve"> </w:t>
      </w:r>
      <w:r w:rsidR="000A727E" w:rsidRPr="004570B4">
        <w:rPr>
          <w:sz w:val="28"/>
          <w:szCs w:val="28"/>
        </w:rPr>
        <w:t xml:space="preserve">Прогноз социально-экономического развития </w:t>
      </w:r>
      <w:r w:rsidR="000A727E">
        <w:rPr>
          <w:sz w:val="28"/>
          <w:szCs w:val="28"/>
        </w:rPr>
        <w:t>Буранного</w:t>
      </w:r>
      <w:r w:rsidR="000A727E" w:rsidRPr="004570B4">
        <w:rPr>
          <w:sz w:val="28"/>
          <w:szCs w:val="28"/>
        </w:rPr>
        <w:t xml:space="preserve"> сельского поселения на 202</w:t>
      </w:r>
      <w:r w:rsidR="00921EF5">
        <w:rPr>
          <w:sz w:val="28"/>
          <w:szCs w:val="28"/>
        </w:rPr>
        <w:t>3</w:t>
      </w:r>
      <w:r w:rsidR="00B4666D">
        <w:rPr>
          <w:sz w:val="28"/>
          <w:szCs w:val="28"/>
        </w:rPr>
        <w:t xml:space="preserve"> год и на плановый период 202</w:t>
      </w:r>
      <w:r w:rsidR="00921EF5">
        <w:rPr>
          <w:sz w:val="28"/>
          <w:szCs w:val="28"/>
        </w:rPr>
        <w:t>4</w:t>
      </w:r>
      <w:r w:rsidR="00B4666D">
        <w:rPr>
          <w:sz w:val="28"/>
          <w:szCs w:val="28"/>
        </w:rPr>
        <w:t xml:space="preserve"> и </w:t>
      </w:r>
      <w:r w:rsidR="000A727E" w:rsidRPr="004570B4">
        <w:rPr>
          <w:sz w:val="28"/>
          <w:szCs w:val="28"/>
        </w:rPr>
        <w:t>202</w:t>
      </w:r>
      <w:r w:rsidR="00921EF5">
        <w:rPr>
          <w:sz w:val="28"/>
          <w:szCs w:val="28"/>
        </w:rPr>
        <w:t>5</w:t>
      </w:r>
      <w:r w:rsidR="000A727E" w:rsidRPr="004570B4">
        <w:rPr>
          <w:sz w:val="28"/>
          <w:szCs w:val="28"/>
        </w:rPr>
        <w:t xml:space="preserve"> год</w:t>
      </w:r>
      <w:r w:rsidR="00B4666D">
        <w:rPr>
          <w:sz w:val="28"/>
          <w:szCs w:val="28"/>
        </w:rPr>
        <w:t>ов</w:t>
      </w:r>
      <w:r w:rsidR="000A727E" w:rsidRPr="004570B4">
        <w:rPr>
          <w:sz w:val="28"/>
          <w:szCs w:val="28"/>
        </w:rPr>
        <w:t xml:space="preserve"> (далее Прогноз) утвержден </w:t>
      </w:r>
      <w:r w:rsidR="00B51920">
        <w:rPr>
          <w:sz w:val="28"/>
          <w:szCs w:val="28"/>
        </w:rPr>
        <w:t>решением Совета депутатов</w:t>
      </w:r>
      <w:r w:rsidR="000A727E" w:rsidRPr="004570B4">
        <w:rPr>
          <w:sz w:val="28"/>
          <w:szCs w:val="28"/>
        </w:rPr>
        <w:t xml:space="preserve"> </w:t>
      </w:r>
      <w:r w:rsidR="000A727E">
        <w:rPr>
          <w:sz w:val="28"/>
          <w:szCs w:val="28"/>
        </w:rPr>
        <w:t>Буранного</w:t>
      </w:r>
      <w:r w:rsidR="000A727E" w:rsidRPr="004570B4">
        <w:rPr>
          <w:sz w:val="28"/>
          <w:szCs w:val="28"/>
        </w:rPr>
        <w:t xml:space="preserve"> сельского поселения </w:t>
      </w:r>
      <w:r w:rsidR="00B51920">
        <w:rPr>
          <w:sz w:val="28"/>
          <w:szCs w:val="28"/>
        </w:rPr>
        <w:t>о</w:t>
      </w:r>
      <w:r w:rsidR="000A727E" w:rsidRPr="004570B4">
        <w:rPr>
          <w:sz w:val="28"/>
          <w:szCs w:val="28"/>
        </w:rPr>
        <w:t xml:space="preserve">т </w:t>
      </w:r>
      <w:r w:rsidR="00B51920">
        <w:rPr>
          <w:sz w:val="28"/>
          <w:szCs w:val="28"/>
        </w:rPr>
        <w:t>23</w:t>
      </w:r>
      <w:r w:rsidR="000A727E" w:rsidRPr="004570B4">
        <w:rPr>
          <w:sz w:val="28"/>
          <w:szCs w:val="28"/>
        </w:rPr>
        <w:t xml:space="preserve"> </w:t>
      </w:r>
      <w:r w:rsidR="00B4666D">
        <w:rPr>
          <w:sz w:val="28"/>
          <w:szCs w:val="28"/>
        </w:rPr>
        <w:t>ноября</w:t>
      </w:r>
      <w:r w:rsidR="000A727E" w:rsidRPr="004570B4">
        <w:rPr>
          <w:sz w:val="28"/>
          <w:szCs w:val="28"/>
        </w:rPr>
        <w:t xml:space="preserve"> 202</w:t>
      </w:r>
      <w:r w:rsidR="00B51920">
        <w:rPr>
          <w:sz w:val="28"/>
          <w:szCs w:val="28"/>
        </w:rPr>
        <w:t>2</w:t>
      </w:r>
      <w:r w:rsidR="000A727E" w:rsidRPr="004570B4">
        <w:rPr>
          <w:sz w:val="28"/>
          <w:szCs w:val="28"/>
        </w:rPr>
        <w:t xml:space="preserve"> года № </w:t>
      </w:r>
      <w:r w:rsidR="00B4666D">
        <w:rPr>
          <w:sz w:val="28"/>
          <w:szCs w:val="28"/>
        </w:rPr>
        <w:t>1</w:t>
      </w:r>
      <w:r w:rsidR="00B51920">
        <w:rPr>
          <w:sz w:val="28"/>
          <w:szCs w:val="28"/>
        </w:rPr>
        <w:t>25</w:t>
      </w:r>
      <w:r w:rsidR="000A727E" w:rsidRPr="004570B4">
        <w:rPr>
          <w:sz w:val="28"/>
          <w:szCs w:val="28"/>
        </w:rPr>
        <w:t>.</w:t>
      </w:r>
    </w:p>
    <w:p w:rsidR="000A727E" w:rsidRPr="004570B4" w:rsidRDefault="000A727E" w:rsidP="000A727E">
      <w:pPr>
        <w:ind w:firstLine="720"/>
        <w:jc w:val="both"/>
        <w:rPr>
          <w:sz w:val="28"/>
          <w:szCs w:val="28"/>
        </w:rPr>
      </w:pPr>
      <w:r w:rsidRPr="004570B4">
        <w:rPr>
          <w:sz w:val="28"/>
          <w:szCs w:val="28"/>
        </w:rPr>
        <w:t>Составление Проекта основы</w:t>
      </w:r>
      <w:r w:rsidR="00B4666D">
        <w:rPr>
          <w:sz w:val="28"/>
          <w:szCs w:val="28"/>
        </w:rPr>
        <w:t>валось на П</w:t>
      </w:r>
      <w:r w:rsidRPr="004570B4">
        <w:rPr>
          <w:sz w:val="28"/>
          <w:szCs w:val="28"/>
        </w:rPr>
        <w:t>рогноз</w:t>
      </w:r>
      <w:r w:rsidR="00A80877">
        <w:rPr>
          <w:sz w:val="28"/>
          <w:szCs w:val="28"/>
        </w:rPr>
        <w:t>е</w:t>
      </w:r>
      <w:r w:rsidRPr="004570B4">
        <w:rPr>
          <w:sz w:val="28"/>
          <w:szCs w:val="28"/>
        </w:rPr>
        <w:t>, что соответствует требованиям статьи 172 БК РФ</w:t>
      </w:r>
      <w:r>
        <w:rPr>
          <w:sz w:val="28"/>
          <w:szCs w:val="28"/>
        </w:rPr>
        <w:t>.</w:t>
      </w:r>
    </w:p>
    <w:p w:rsidR="00A2232D" w:rsidRPr="00D179E2" w:rsidRDefault="0027367B" w:rsidP="000A72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 В соответствии со статьей 172 БК РФ составление Проекта основыва</w:t>
      </w:r>
      <w:r w:rsidR="009B0805" w:rsidRPr="00D179E2">
        <w:rPr>
          <w:sz w:val="28"/>
          <w:szCs w:val="28"/>
        </w:rPr>
        <w:t>лось также</w:t>
      </w:r>
      <w:r w:rsidRPr="00D179E2">
        <w:rPr>
          <w:sz w:val="28"/>
          <w:szCs w:val="28"/>
        </w:rPr>
        <w:t xml:space="preserve"> </w:t>
      </w:r>
      <w:proofErr w:type="gramStart"/>
      <w:r w:rsidRPr="00D179E2">
        <w:rPr>
          <w:sz w:val="28"/>
          <w:szCs w:val="28"/>
        </w:rPr>
        <w:t>на</w:t>
      </w:r>
      <w:proofErr w:type="gramEnd"/>
      <w:r w:rsidRPr="00D179E2">
        <w:rPr>
          <w:sz w:val="28"/>
          <w:szCs w:val="28"/>
        </w:rPr>
        <w:t xml:space="preserve">: </w:t>
      </w:r>
    </w:p>
    <w:p w:rsidR="00A2232D" w:rsidRPr="00D179E2" w:rsidRDefault="00A2232D" w:rsidP="0007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- основных </w:t>
      </w:r>
      <w:proofErr w:type="gramStart"/>
      <w:r w:rsidRPr="00D179E2">
        <w:rPr>
          <w:sz w:val="28"/>
          <w:szCs w:val="28"/>
        </w:rPr>
        <w:t>направлениях</w:t>
      </w:r>
      <w:proofErr w:type="gramEnd"/>
      <w:r w:rsidRPr="00D179E2">
        <w:rPr>
          <w:sz w:val="28"/>
          <w:szCs w:val="28"/>
        </w:rPr>
        <w:t xml:space="preserve"> бюджетной и налоговой политики </w:t>
      </w:r>
      <w:r w:rsidR="00BF1776" w:rsidRPr="00D179E2">
        <w:rPr>
          <w:sz w:val="28"/>
          <w:szCs w:val="28"/>
        </w:rPr>
        <w:t>Буранного</w:t>
      </w:r>
      <w:r w:rsidR="00D42DF7" w:rsidRPr="00D179E2">
        <w:rPr>
          <w:sz w:val="28"/>
          <w:szCs w:val="28"/>
        </w:rPr>
        <w:t xml:space="preserve"> сельского поселения </w:t>
      </w:r>
      <w:r w:rsidR="00077255" w:rsidRPr="00D179E2">
        <w:rPr>
          <w:sz w:val="28"/>
          <w:szCs w:val="28"/>
        </w:rPr>
        <w:t xml:space="preserve">Агаповского </w:t>
      </w:r>
      <w:r w:rsidRPr="00D179E2">
        <w:rPr>
          <w:sz w:val="28"/>
          <w:szCs w:val="28"/>
        </w:rPr>
        <w:t>муниципального района</w:t>
      </w:r>
      <w:r w:rsidR="00077255" w:rsidRPr="00D179E2">
        <w:rPr>
          <w:sz w:val="28"/>
          <w:szCs w:val="28"/>
        </w:rPr>
        <w:t xml:space="preserve"> на </w:t>
      </w:r>
      <w:r w:rsidR="006A54D3">
        <w:rPr>
          <w:sz w:val="28"/>
          <w:szCs w:val="28"/>
        </w:rPr>
        <w:t>202</w:t>
      </w:r>
      <w:r w:rsidR="00921EF5">
        <w:rPr>
          <w:sz w:val="28"/>
          <w:szCs w:val="28"/>
        </w:rPr>
        <w:t>3</w:t>
      </w:r>
      <w:r w:rsidR="006A54D3">
        <w:rPr>
          <w:sz w:val="28"/>
          <w:szCs w:val="28"/>
        </w:rPr>
        <w:t xml:space="preserve"> год и </w:t>
      </w:r>
      <w:r w:rsidR="00B4666D">
        <w:rPr>
          <w:sz w:val="28"/>
          <w:szCs w:val="28"/>
        </w:rPr>
        <w:t xml:space="preserve">на </w:t>
      </w:r>
      <w:r w:rsidR="006A54D3">
        <w:rPr>
          <w:sz w:val="28"/>
          <w:szCs w:val="28"/>
        </w:rPr>
        <w:t>плановый период 202</w:t>
      </w:r>
      <w:r w:rsidR="00921EF5">
        <w:rPr>
          <w:sz w:val="28"/>
          <w:szCs w:val="28"/>
        </w:rPr>
        <w:t>4</w:t>
      </w:r>
      <w:r w:rsidR="006A54D3">
        <w:rPr>
          <w:sz w:val="28"/>
          <w:szCs w:val="28"/>
        </w:rPr>
        <w:t xml:space="preserve"> и 202</w:t>
      </w:r>
      <w:r w:rsidR="00921EF5">
        <w:rPr>
          <w:sz w:val="28"/>
          <w:szCs w:val="28"/>
        </w:rPr>
        <w:t>5</w:t>
      </w:r>
      <w:r w:rsidR="006A54D3">
        <w:rPr>
          <w:sz w:val="28"/>
          <w:szCs w:val="28"/>
        </w:rPr>
        <w:t xml:space="preserve"> </w:t>
      </w:r>
      <w:r w:rsidR="00077255" w:rsidRPr="00D179E2">
        <w:rPr>
          <w:sz w:val="28"/>
          <w:szCs w:val="28"/>
        </w:rPr>
        <w:t>годов</w:t>
      </w:r>
      <w:r w:rsidRPr="00D179E2">
        <w:rPr>
          <w:sz w:val="28"/>
          <w:szCs w:val="28"/>
        </w:rPr>
        <w:t>;</w:t>
      </w:r>
    </w:p>
    <w:p w:rsidR="00236BBB" w:rsidRPr="00D179E2" w:rsidRDefault="00236BBB" w:rsidP="00077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- бюджетном </w:t>
      </w:r>
      <w:proofErr w:type="gramStart"/>
      <w:r w:rsidRPr="00D179E2">
        <w:rPr>
          <w:sz w:val="28"/>
          <w:szCs w:val="28"/>
        </w:rPr>
        <w:t>прогнозе</w:t>
      </w:r>
      <w:proofErr w:type="gramEnd"/>
      <w:r w:rsidR="00B4666D" w:rsidRPr="00B4666D">
        <w:rPr>
          <w:sz w:val="28"/>
          <w:szCs w:val="28"/>
        </w:rPr>
        <w:t xml:space="preserve"> </w:t>
      </w:r>
      <w:r w:rsidR="00B4666D" w:rsidRPr="00D179E2">
        <w:rPr>
          <w:sz w:val="28"/>
          <w:szCs w:val="28"/>
        </w:rPr>
        <w:t>Буранного сельского поселения на долгосрочный период до 202</w:t>
      </w:r>
      <w:r w:rsidR="00B4666D">
        <w:rPr>
          <w:sz w:val="28"/>
          <w:szCs w:val="28"/>
        </w:rPr>
        <w:t>5</w:t>
      </w:r>
      <w:r w:rsidR="00B4666D" w:rsidRPr="00D179E2">
        <w:rPr>
          <w:sz w:val="28"/>
          <w:szCs w:val="28"/>
        </w:rPr>
        <w:t xml:space="preserve"> года</w:t>
      </w:r>
      <w:r w:rsidRPr="00D179E2">
        <w:rPr>
          <w:sz w:val="28"/>
          <w:szCs w:val="28"/>
        </w:rPr>
        <w:t>;</w:t>
      </w:r>
    </w:p>
    <w:p w:rsidR="00A2232D" w:rsidRPr="00D179E2" w:rsidRDefault="00A2232D" w:rsidP="00077255">
      <w:pPr>
        <w:jc w:val="both"/>
        <w:rPr>
          <w:sz w:val="28"/>
          <w:szCs w:val="28"/>
        </w:rPr>
      </w:pPr>
      <w:r w:rsidRPr="00D179E2">
        <w:rPr>
          <w:sz w:val="28"/>
          <w:szCs w:val="28"/>
        </w:rPr>
        <w:t>- муниципальн</w:t>
      </w:r>
      <w:r w:rsidR="00D42DF7" w:rsidRPr="00D179E2">
        <w:rPr>
          <w:sz w:val="28"/>
          <w:szCs w:val="28"/>
        </w:rPr>
        <w:t>ой</w:t>
      </w:r>
      <w:r w:rsidRPr="00D179E2">
        <w:rPr>
          <w:sz w:val="28"/>
          <w:szCs w:val="28"/>
        </w:rPr>
        <w:t xml:space="preserve"> программ</w:t>
      </w:r>
      <w:r w:rsidR="00D42DF7" w:rsidRPr="00D179E2">
        <w:rPr>
          <w:sz w:val="28"/>
          <w:szCs w:val="28"/>
        </w:rPr>
        <w:t>е</w:t>
      </w:r>
      <w:r w:rsidRPr="00D179E2">
        <w:rPr>
          <w:sz w:val="28"/>
          <w:szCs w:val="28"/>
        </w:rPr>
        <w:t>.</w:t>
      </w:r>
    </w:p>
    <w:p w:rsidR="00217969" w:rsidRPr="00D179E2" w:rsidRDefault="00682650" w:rsidP="00D0486F">
      <w:pPr>
        <w:pStyle w:val="10"/>
        <w:rPr>
          <w:szCs w:val="28"/>
        </w:rPr>
      </w:pPr>
      <w:r w:rsidRPr="00D179E2">
        <w:rPr>
          <w:szCs w:val="28"/>
        </w:rPr>
        <w:t xml:space="preserve">Налоговая политика в </w:t>
      </w:r>
      <w:r w:rsidR="00BF1776" w:rsidRPr="00D179E2">
        <w:rPr>
          <w:szCs w:val="28"/>
        </w:rPr>
        <w:t>Буранном</w:t>
      </w:r>
      <w:r w:rsidR="00217969" w:rsidRPr="00D179E2">
        <w:rPr>
          <w:szCs w:val="28"/>
        </w:rPr>
        <w:t xml:space="preserve"> сельском поселении </w:t>
      </w:r>
      <w:r w:rsidRPr="00D179E2">
        <w:rPr>
          <w:szCs w:val="28"/>
        </w:rPr>
        <w:t>Агаповско</w:t>
      </w:r>
      <w:r w:rsidR="00217969" w:rsidRPr="00D179E2">
        <w:rPr>
          <w:szCs w:val="28"/>
        </w:rPr>
        <w:t>го</w:t>
      </w:r>
      <w:r w:rsidRPr="00D179E2">
        <w:rPr>
          <w:szCs w:val="28"/>
        </w:rPr>
        <w:t xml:space="preserve"> муниципально</w:t>
      </w:r>
      <w:r w:rsidR="00217969" w:rsidRPr="00D179E2">
        <w:rPr>
          <w:szCs w:val="28"/>
        </w:rPr>
        <w:t>го</w:t>
      </w:r>
      <w:r w:rsidRPr="00D179E2">
        <w:rPr>
          <w:szCs w:val="28"/>
        </w:rPr>
        <w:t xml:space="preserve"> район</w:t>
      </w:r>
      <w:r w:rsidR="00217969" w:rsidRPr="00D179E2">
        <w:rPr>
          <w:szCs w:val="28"/>
        </w:rPr>
        <w:t>а</w:t>
      </w:r>
      <w:r w:rsidRPr="00D179E2">
        <w:rPr>
          <w:szCs w:val="28"/>
        </w:rPr>
        <w:t xml:space="preserve"> направлена на </w:t>
      </w:r>
      <w:r w:rsidR="00EB3F57" w:rsidRPr="00D179E2">
        <w:rPr>
          <w:szCs w:val="28"/>
        </w:rPr>
        <w:t>обеспечени</w:t>
      </w:r>
      <w:r w:rsidR="00A80877">
        <w:rPr>
          <w:szCs w:val="28"/>
        </w:rPr>
        <w:t>е</w:t>
      </w:r>
      <w:r w:rsidR="00EB3F57" w:rsidRPr="00D179E2">
        <w:rPr>
          <w:szCs w:val="28"/>
        </w:rPr>
        <w:t xml:space="preserve"> </w:t>
      </w:r>
      <w:r w:rsidR="008B2A23" w:rsidRPr="00D179E2">
        <w:rPr>
          <w:szCs w:val="28"/>
        </w:rPr>
        <w:t xml:space="preserve">роста доходов бюджетной системы </w:t>
      </w:r>
      <w:r w:rsidR="003D690B" w:rsidRPr="00D179E2">
        <w:rPr>
          <w:szCs w:val="28"/>
        </w:rPr>
        <w:t>и стимулировани</w:t>
      </w:r>
      <w:r w:rsidR="00A80877">
        <w:rPr>
          <w:szCs w:val="28"/>
        </w:rPr>
        <w:t>е</w:t>
      </w:r>
      <w:r w:rsidR="003D690B" w:rsidRPr="00D179E2">
        <w:rPr>
          <w:szCs w:val="28"/>
        </w:rPr>
        <w:t xml:space="preserve"> экономического развития по приоритетным направлениям. </w:t>
      </w:r>
    </w:p>
    <w:p w:rsidR="008B2A23" w:rsidRPr="00D179E2" w:rsidRDefault="00ED1BED" w:rsidP="008B2A23">
      <w:pPr>
        <w:pStyle w:val="10"/>
        <w:rPr>
          <w:szCs w:val="28"/>
        </w:rPr>
      </w:pPr>
      <w:r w:rsidRPr="00D179E2">
        <w:rPr>
          <w:szCs w:val="28"/>
        </w:rPr>
        <w:lastRenderedPageBreak/>
        <w:t xml:space="preserve"> </w:t>
      </w:r>
      <w:proofErr w:type="gramStart"/>
      <w:r w:rsidR="00E472B7" w:rsidRPr="00D179E2">
        <w:rPr>
          <w:szCs w:val="28"/>
        </w:rPr>
        <w:t xml:space="preserve">Бюджетная политика </w:t>
      </w:r>
      <w:r w:rsidR="00BF1776" w:rsidRPr="00D179E2">
        <w:rPr>
          <w:szCs w:val="28"/>
        </w:rPr>
        <w:t>Буранного</w:t>
      </w:r>
      <w:r w:rsidR="003479D5" w:rsidRPr="00D179E2">
        <w:rPr>
          <w:szCs w:val="28"/>
        </w:rPr>
        <w:t xml:space="preserve"> сельского поселения </w:t>
      </w:r>
      <w:r w:rsidR="00E472B7" w:rsidRPr="00D179E2">
        <w:rPr>
          <w:szCs w:val="28"/>
        </w:rPr>
        <w:t xml:space="preserve">Агаповского муниципального района </w:t>
      </w:r>
      <w:r w:rsidR="0006589C" w:rsidRPr="00D179E2">
        <w:rPr>
          <w:szCs w:val="28"/>
        </w:rPr>
        <w:t>в текущем периоде направлена на</w:t>
      </w:r>
      <w:r w:rsidR="009824CE" w:rsidRPr="00D179E2">
        <w:rPr>
          <w:szCs w:val="28"/>
        </w:rPr>
        <w:t>:</w:t>
      </w:r>
      <w:r w:rsidR="0006589C" w:rsidRPr="00D179E2">
        <w:rPr>
          <w:szCs w:val="28"/>
        </w:rPr>
        <w:t xml:space="preserve"> </w:t>
      </w:r>
      <w:r w:rsidR="008B2A23" w:rsidRPr="00D179E2">
        <w:rPr>
          <w:szCs w:val="28"/>
        </w:rPr>
        <w:t>обеспечение долгосрочной сбалансированности бюджета, поэтапное сокращение объема долговых обязательств, сохранение сдерживающих механизмов при исполнении бюджета, сохранение механизма приоритетности финансирования расходов с учетом реальных возможностей бюджета при исполнении бюджета, ориентацию бюджетной системы района на дос</w:t>
      </w:r>
      <w:r w:rsidR="0073480F">
        <w:rPr>
          <w:szCs w:val="28"/>
        </w:rPr>
        <w:t>тижение конкретных результатов, обеспечение энергетической эффективности и энергосбережения в бюджетной сфере.</w:t>
      </w:r>
      <w:r w:rsidR="008B2A23" w:rsidRPr="00D179E2">
        <w:rPr>
          <w:szCs w:val="28"/>
        </w:rPr>
        <w:t xml:space="preserve"> </w:t>
      </w:r>
      <w:proofErr w:type="gramEnd"/>
    </w:p>
    <w:p w:rsidR="00682650" w:rsidRDefault="00682650" w:rsidP="00682650">
      <w:pPr>
        <w:pStyle w:val="10"/>
        <w:rPr>
          <w:szCs w:val="28"/>
        </w:rPr>
      </w:pPr>
      <w:r w:rsidRPr="00D179E2">
        <w:rPr>
          <w:szCs w:val="28"/>
        </w:rPr>
        <w:t>Объём остатков средств бюджета</w:t>
      </w:r>
      <w:r w:rsidR="00026A07" w:rsidRPr="00D179E2">
        <w:rPr>
          <w:szCs w:val="28"/>
        </w:rPr>
        <w:t xml:space="preserve"> </w:t>
      </w:r>
      <w:r w:rsidR="00BF1776" w:rsidRPr="00D179E2">
        <w:rPr>
          <w:szCs w:val="28"/>
        </w:rPr>
        <w:t>Буранного</w:t>
      </w:r>
      <w:r w:rsidR="00026A07" w:rsidRPr="00D179E2">
        <w:rPr>
          <w:szCs w:val="28"/>
        </w:rPr>
        <w:t xml:space="preserve"> сельского поселения </w:t>
      </w:r>
      <w:r w:rsidRPr="00D179E2">
        <w:rPr>
          <w:szCs w:val="28"/>
        </w:rPr>
        <w:t xml:space="preserve"> на 1 января </w:t>
      </w:r>
      <w:r w:rsidR="00AA558E">
        <w:rPr>
          <w:szCs w:val="28"/>
        </w:rPr>
        <w:t>202</w:t>
      </w:r>
      <w:r w:rsidR="00791A43">
        <w:rPr>
          <w:szCs w:val="28"/>
        </w:rPr>
        <w:t>3</w:t>
      </w:r>
      <w:r w:rsidRPr="00D179E2">
        <w:rPr>
          <w:szCs w:val="28"/>
        </w:rPr>
        <w:t xml:space="preserve"> года составляет </w:t>
      </w:r>
      <w:r w:rsidR="00AA558E">
        <w:rPr>
          <w:szCs w:val="28"/>
        </w:rPr>
        <w:t>0</w:t>
      </w:r>
      <w:r w:rsidR="003D690B" w:rsidRPr="00D179E2">
        <w:rPr>
          <w:szCs w:val="28"/>
        </w:rPr>
        <w:t>,</w:t>
      </w:r>
      <w:r w:rsidR="00026A07" w:rsidRPr="00D179E2">
        <w:rPr>
          <w:szCs w:val="28"/>
        </w:rPr>
        <w:t>00</w:t>
      </w:r>
      <w:r w:rsidRPr="00D179E2">
        <w:rPr>
          <w:szCs w:val="28"/>
        </w:rPr>
        <w:t xml:space="preserve"> тыс. рублей, которые направляются на покрытие временных кассовых разрывов, возникающих в ходе исполнения  бюджета </w:t>
      </w:r>
      <w:r w:rsidR="00BF1776" w:rsidRPr="00D179E2">
        <w:rPr>
          <w:szCs w:val="28"/>
        </w:rPr>
        <w:t>Буранного</w:t>
      </w:r>
      <w:r w:rsidR="00B16CD5" w:rsidRPr="00D179E2">
        <w:rPr>
          <w:szCs w:val="28"/>
        </w:rPr>
        <w:t xml:space="preserve"> сельского поселения </w:t>
      </w:r>
      <w:r w:rsidRPr="00D179E2">
        <w:rPr>
          <w:szCs w:val="28"/>
        </w:rPr>
        <w:t xml:space="preserve">в </w:t>
      </w:r>
      <w:r w:rsidR="00314465" w:rsidRPr="00D179E2">
        <w:rPr>
          <w:szCs w:val="28"/>
        </w:rPr>
        <w:t>20</w:t>
      </w:r>
      <w:r w:rsidR="00AA558E">
        <w:rPr>
          <w:szCs w:val="28"/>
        </w:rPr>
        <w:t>2</w:t>
      </w:r>
      <w:r w:rsidR="00791A43">
        <w:rPr>
          <w:szCs w:val="28"/>
        </w:rPr>
        <w:t>3</w:t>
      </w:r>
      <w:r w:rsidRPr="00D179E2">
        <w:rPr>
          <w:szCs w:val="28"/>
        </w:rPr>
        <w:t xml:space="preserve"> году.</w:t>
      </w:r>
    </w:p>
    <w:p w:rsidR="0073480F" w:rsidRPr="00D753B9" w:rsidRDefault="0073480F" w:rsidP="0073480F">
      <w:pPr>
        <w:ind w:firstLine="709"/>
        <w:jc w:val="both"/>
        <w:rPr>
          <w:sz w:val="28"/>
          <w:szCs w:val="28"/>
        </w:rPr>
      </w:pPr>
      <w:r w:rsidRPr="00D753B9">
        <w:rPr>
          <w:sz w:val="28"/>
          <w:szCs w:val="28"/>
        </w:rPr>
        <w:t>Верхний предел муниципального внутреннего долга установлен в соответствии с требованиями статьи 107 БК РФ: на 1 января 202</w:t>
      </w:r>
      <w:r w:rsidR="00791A43">
        <w:rPr>
          <w:sz w:val="28"/>
          <w:szCs w:val="28"/>
        </w:rPr>
        <w:t>4</w:t>
      </w:r>
      <w:r w:rsidRPr="00D753B9">
        <w:rPr>
          <w:sz w:val="28"/>
          <w:szCs w:val="28"/>
        </w:rPr>
        <w:t xml:space="preserve"> года установлен в сумме </w:t>
      </w:r>
      <w:r w:rsidR="00791A43">
        <w:rPr>
          <w:sz w:val="28"/>
          <w:szCs w:val="28"/>
        </w:rPr>
        <w:t>284</w:t>
      </w:r>
      <w:r w:rsidRPr="00D753B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D753B9">
        <w:rPr>
          <w:sz w:val="28"/>
          <w:szCs w:val="28"/>
        </w:rPr>
        <w:t xml:space="preserve"> тыс. рублей, в том числе верхний предел долга по муниципальным гарантиям в сумме 0,00 тыс. рублей; </w:t>
      </w:r>
    </w:p>
    <w:p w:rsidR="0073480F" w:rsidRPr="00D753B9" w:rsidRDefault="0073480F" w:rsidP="0073480F">
      <w:pPr>
        <w:ind w:firstLine="709"/>
        <w:jc w:val="both"/>
        <w:rPr>
          <w:sz w:val="28"/>
          <w:szCs w:val="28"/>
        </w:rPr>
      </w:pPr>
      <w:r w:rsidRPr="00D753B9">
        <w:rPr>
          <w:sz w:val="28"/>
          <w:szCs w:val="28"/>
        </w:rPr>
        <w:t>на 1 января 202</w:t>
      </w:r>
      <w:r w:rsidR="00791A43">
        <w:rPr>
          <w:sz w:val="28"/>
          <w:szCs w:val="28"/>
        </w:rPr>
        <w:t>5</w:t>
      </w:r>
      <w:r w:rsidRPr="00D753B9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</w:t>
      </w:r>
      <w:r w:rsidR="00791A43">
        <w:rPr>
          <w:sz w:val="28"/>
          <w:szCs w:val="28"/>
        </w:rPr>
        <w:t>89</w:t>
      </w:r>
      <w:r w:rsidRPr="00D753B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753B9">
        <w:rPr>
          <w:sz w:val="28"/>
          <w:szCs w:val="28"/>
        </w:rPr>
        <w:t>0 тыс. рублей, в том числе верхний предел долга по муниципальным гарантиям в сумме 0,00 тыс. рублей;</w:t>
      </w:r>
    </w:p>
    <w:p w:rsidR="0073480F" w:rsidRPr="00D753B9" w:rsidRDefault="0073480F" w:rsidP="0073480F">
      <w:pPr>
        <w:jc w:val="both"/>
        <w:rPr>
          <w:sz w:val="28"/>
          <w:szCs w:val="28"/>
        </w:rPr>
      </w:pPr>
      <w:r w:rsidRPr="00D753B9">
        <w:rPr>
          <w:sz w:val="28"/>
          <w:szCs w:val="28"/>
        </w:rPr>
        <w:t xml:space="preserve">         на 1 января 202</w:t>
      </w:r>
      <w:r w:rsidR="00791A43">
        <w:rPr>
          <w:sz w:val="28"/>
          <w:szCs w:val="28"/>
        </w:rPr>
        <w:t>6</w:t>
      </w:r>
      <w:r w:rsidRPr="00D753B9">
        <w:rPr>
          <w:sz w:val="28"/>
          <w:szCs w:val="28"/>
        </w:rPr>
        <w:t xml:space="preserve"> года в сумме </w:t>
      </w:r>
      <w:r w:rsidR="00791A4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791A43">
        <w:rPr>
          <w:sz w:val="28"/>
          <w:szCs w:val="28"/>
        </w:rPr>
        <w:t>7</w:t>
      </w:r>
      <w:r w:rsidRPr="00D753B9">
        <w:rPr>
          <w:sz w:val="28"/>
          <w:szCs w:val="28"/>
        </w:rPr>
        <w:t>,00 тыс. рублей, в том числе верхний предел долга по муниципальным гарантиям в сумме 0,00 тыс. рублей.</w:t>
      </w:r>
    </w:p>
    <w:p w:rsidR="0073480F" w:rsidRDefault="0073480F" w:rsidP="0073480F">
      <w:pPr>
        <w:ind w:firstLine="709"/>
        <w:jc w:val="both"/>
        <w:rPr>
          <w:sz w:val="28"/>
          <w:szCs w:val="28"/>
        </w:rPr>
      </w:pPr>
      <w:r w:rsidRPr="003304E1">
        <w:rPr>
          <w:sz w:val="28"/>
          <w:szCs w:val="28"/>
        </w:rPr>
        <w:t>Объем расходов на обслуживание муниципального долга</w:t>
      </w:r>
      <w:r>
        <w:rPr>
          <w:sz w:val="28"/>
          <w:szCs w:val="28"/>
        </w:rPr>
        <w:t xml:space="preserve"> установлен</w:t>
      </w:r>
      <w:r w:rsidRPr="003304E1">
        <w:rPr>
          <w:sz w:val="28"/>
          <w:szCs w:val="28"/>
        </w:rPr>
        <w:t xml:space="preserve"> на 202</w:t>
      </w:r>
      <w:r w:rsidR="00791A43">
        <w:rPr>
          <w:sz w:val="28"/>
          <w:szCs w:val="28"/>
        </w:rPr>
        <w:t>3</w:t>
      </w:r>
      <w:r w:rsidRPr="003304E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3304E1">
        <w:rPr>
          <w:sz w:val="28"/>
          <w:szCs w:val="28"/>
        </w:rPr>
        <w:t>0 тыс. рублей, на 202</w:t>
      </w:r>
      <w:r w:rsidR="00791A43">
        <w:rPr>
          <w:sz w:val="28"/>
          <w:szCs w:val="28"/>
        </w:rPr>
        <w:t>4</w:t>
      </w:r>
      <w:r w:rsidRPr="003304E1">
        <w:rPr>
          <w:sz w:val="28"/>
          <w:szCs w:val="28"/>
        </w:rPr>
        <w:t xml:space="preserve"> год в сумме 0,00 тыс. рублей и на 202</w:t>
      </w:r>
      <w:r w:rsidR="00791A43">
        <w:rPr>
          <w:sz w:val="28"/>
          <w:szCs w:val="28"/>
        </w:rPr>
        <w:t>5</w:t>
      </w:r>
      <w:r w:rsidRPr="003304E1">
        <w:rPr>
          <w:sz w:val="28"/>
          <w:szCs w:val="28"/>
        </w:rPr>
        <w:t xml:space="preserve"> год в сумме 0,00 тыс. рублей.</w:t>
      </w:r>
    </w:p>
    <w:p w:rsidR="0073480F" w:rsidRPr="003304E1" w:rsidRDefault="0073480F" w:rsidP="0073480F">
      <w:pPr>
        <w:ind w:firstLine="709"/>
        <w:jc w:val="both"/>
        <w:rPr>
          <w:sz w:val="28"/>
          <w:szCs w:val="28"/>
        </w:rPr>
      </w:pPr>
      <w:r w:rsidRPr="003304E1">
        <w:rPr>
          <w:sz w:val="28"/>
          <w:szCs w:val="28"/>
        </w:rPr>
        <w:t>Общий объем бюджетных ассигнований на исполнение публичных нормативных обязательств утвержден на 202</w:t>
      </w:r>
      <w:r w:rsidR="009D1F20">
        <w:rPr>
          <w:sz w:val="28"/>
          <w:szCs w:val="28"/>
        </w:rPr>
        <w:t>3</w:t>
      </w:r>
      <w:r w:rsidRPr="003304E1">
        <w:rPr>
          <w:sz w:val="28"/>
          <w:szCs w:val="28"/>
        </w:rPr>
        <w:t xml:space="preserve"> год в сумме </w:t>
      </w:r>
      <w:r w:rsidR="00473739" w:rsidRPr="00473739">
        <w:rPr>
          <w:sz w:val="28"/>
          <w:szCs w:val="28"/>
        </w:rPr>
        <w:t>0</w:t>
      </w:r>
      <w:r w:rsidRPr="00473739">
        <w:rPr>
          <w:sz w:val="28"/>
          <w:szCs w:val="28"/>
        </w:rPr>
        <w:t>0,00 тыс. рублей</w:t>
      </w:r>
      <w:r w:rsidRPr="003304E1">
        <w:rPr>
          <w:sz w:val="28"/>
          <w:szCs w:val="28"/>
        </w:rPr>
        <w:t>, и на плановый период 202</w:t>
      </w:r>
      <w:r w:rsidR="009D1F20">
        <w:rPr>
          <w:sz w:val="28"/>
          <w:szCs w:val="28"/>
        </w:rPr>
        <w:t>4</w:t>
      </w:r>
      <w:r w:rsidRPr="003304E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3304E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304E1">
        <w:rPr>
          <w:sz w:val="28"/>
          <w:szCs w:val="28"/>
        </w:rPr>
        <w:t>0 тыс. рублей и 202</w:t>
      </w:r>
      <w:r w:rsidR="009D1F20">
        <w:rPr>
          <w:sz w:val="28"/>
          <w:szCs w:val="28"/>
        </w:rPr>
        <w:t>5</w:t>
      </w:r>
      <w:r w:rsidRPr="003304E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</w:t>
      </w:r>
      <w:r w:rsidRPr="003304E1">
        <w:rPr>
          <w:sz w:val="28"/>
          <w:szCs w:val="28"/>
        </w:rPr>
        <w:t xml:space="preserve"> тыс. рублей.</w:t>
      </w:r>
    </w:p>
    <w:p w:rsidR="00EF1DB7" w:rsidRDefault="00EF1DB7" w:rsidP="00EF1DB7">
      <w:pPr>
        <w:pStyle w:val="HeadDoc"/>
        <w:keepLines w:val="0"/>
        <w:widowControl w:val="0"/>
        <w:suppressAutoHyphens/>
        <w:ind w:firstLine="567"/>
        <w:rPr>
          <w:color w:val="000000"/>
          <w:szCs w:val="28"/>
        </w:rPr>
      </w:pPr>
      <w:proofErr w:type="gramStart"/>
      <w:r w:rsidRPr="00D179E2">
        <w:rPr>
          <w:color w:val="000000"/>
          <w:szCs w:val="28"/>
        </w:rPr>
        <w:t>Согласно части 3 статьи 184.1 БК РФ «Общий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</w:t>
      </w:r>
      <w:proofErr w:type="gramEnd"/>
      <w:r w:rsidRPr="00D179E2">
        <w:rPr>
          <w:color w:val="000000"/>
          <w:szCs w:val="28"/>
        </w:rPr>
        <w:t xml:space="preserve">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назначение)».</w:t>
      </w:r>
    </w:p>
    <w:p w:rsidR="004A7019" w:rsidRDefault="004A7019" w:rsidP="004A7019">
      <w:pPr>
        <w:pStyle w:val="HeadDoc"/>
        <w:keepLines w:val="0"/>
        <w:widowControl w:val="0"/>
        <w:suppressAutoHyphens/>
        <w:ind w:firstLine="567"/>
        <w:rPr>
          <w:color w:val="000000"/>
          <w:szCs w:val="28"/>
        </w:rPr>
      </w:pPr>
      <w:r w:rsidRPr="00C70573">
        <w:rPr>
          <w:color w:val="000000"/>
          <w:szCs w:val="28"/>
        </w:rPr>
        <w:t xml:space="preserve">Объем условно утверждённых расходов, предусмотренных в </w:t>
      </w:r>
      <w:r>
        <w:rPr>
          <w:color w:val="000000"/>
          <w:szCs w:val="28"/>
        </w:rPr>
        <w:t>П</w:t>
      </w:r>
      <w:r w:rsidRPr="00C70573">
        <w:rPr>
          <w:color w:val="000000"/>
          <w:szCs w:val="28"/>
        </w:rPr>
        <w:t>роекте, установлен на 202</w:t>
      </w:r>
      <w:r w:rsidR="009D1F20">
        <w:rPr>
          <w:color w:val="000000"/>
          <w:szCs w:val="28"/>
        </w:rPr>
        <w:t>4</w:t>
      </w:r>
      <w:r w:rsidRPr="00C70573">
        <w:rPr>
          <w:color w:val="000000"/>
          <w:szCs w:val="28"/>
        </w:rPr>
        <w:t xml:space="preserve"> год в объеме </w:t>
      </w:r>
      <w:r w:rsidR="009D1F20">
        <w:rPr>
          <w:color w:val="000000"/>
          <w:szCs w:val="28"/>
        </w:rPr>
        <w:t>357,00</w:t>
      </w:r>
      <w:r>
        <w:rPr>
          <w:color w:val="000000"/>
          <w:szCs w:val="28"/>
        </w:rPr>
        <w:t xml:space="preserve"> тыс. руб.</w:t>
      </w:r>
      <w:r w:rsidRPr="00C70573">
        <w:rPr>
          <w:color w:val="000000"/>
          <w:szCs w:val="28"/>
        </w:rPr>
        <w:t>, на 202</w:t>
      </w:r>
      <w:r w:rsidR="009D1F20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</w:t>
      </w:r>
      <w:r w:rsidRPr="00C70573">
        <w:rPr>
          <w:color w:val="000000"/>
          <w:szCs w:val="28"/>
        </w:rPr>
        <w:t xml:space="preserve">год в объеме </w:t>
      </w:r>
      <w:r w:rsidR="009D1F20">
        <w:rPr>
          <w:color w:val="000000"/>
          <w:szCs w:val="28"/>
        </w:rPr>
        <w:t>735,00</w:t>
      </w:r>
      <w:r w:rsidRPr="00C70573">
        <w:rPr>
          <w:color w:val="000000"/>
          <w:szCs w:val="28"/>
        </w:rPr>
        <w:t xml:space="preserve"> тыс. руб</w:t>
      </w:r>
      <w:r>
        <w:rPr>
          <w:color w:val="000000"/>
          <w:szCs w:val="28"/>
        </w:rPr>
        <w:t>.</w:t>
      </w:r>
      <w:r w:rsidRPr="00C70573">
        <w:rPr>
          <w:color w:val="000000"/>
          <w:szCs w:val="28"/>
        </w:rPr>
        <w:t>, что соответствует требованиям ч</w:t>
      </w:r>
      <w:r>
        <w:rPr>
          <w:color w:val="000000"/>
          <w:szCs w:val="28"/>
        </w:rPr>
        <w:t>асти</w:t>
      </w:r>
      <w:r w:rsidRPr="00C70573">
        <w:rPr>
          <w:color w:val="000000"/>
          <w:szCs w:val="28"/>
        </w:rPr>
        <w:t xml:space="preserve"> 3 ст</w:t>
      </w:r>
      <w:r>
        <w:rPr>
          <w:color w:val="000000"/>
          <w:szCs w:val="28"/>
        </w:rPr>
        <w:t>атьи</w:t>
      </w:r>
      <w:r w:rsidRPr="00C70573">
        <w:rPr>
          <w:color w:val="000000"/>
          <w:szCs w:val="28"/>
        </w:rPr>
        <w:t xml:space="preserve"> 184.1 БК РФ.</w:t>
      </w:r>
    </w:p>
    <w:p w:rsidR="004A7019" w:rsidRPr="003304E1" w:rsidRDefault="004A7019" w:rsidP="004A7019">
      <w:pPr>
        <w:ind w:firstLine="709"/>
        <w:jc w:val="both"/>
        <w:rPr>
          <w:sz w:val="28"/>
          <w:szCs w:val="28"/>
        </w:rPr>
      </w:pPr>
      <w:proofErr w:type="gramStart"/>
      <w:r w:rsidRPr="0036280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статьи</w:t>
      </w:r>
      <w:proofErr w:type="gramEnd"/>
      <w:r>
        <w:rPr>
          <w:sz w:val="28"/>
          <w:szCs w:val="28"/>
        </w:rPr>
        <w:t xml:space="preserve"> 7 и</w:t>
      </w:r>
      <w:r w:rsidRPr="0036280E">
        <w:rPr>
          <w:sz w:val="28"/>
          <w:szCs w:val="28"/>
        </w:rPr>
        <w:t xml:space="preserve"> Приложений №</w:t>
      </w:r>
      <w:r>
        <w:rPr>
          <w:sz w:val="28"/>
          <w:szCs w:val="28"/>
        </w:rPr>
        <w:t xml:space="preserve"> 4, № 5</w:t>
      </w:r>
      <w:r w:rsidRPr="00BD0457">
        <w:rPr>
          <w:color w:val="FF0000"/>
          <w:sz w:val="28"/>
          <w:szCs w:val="28"/>
        </w:rPr>
        <w:t xml:space="preserve"> </w:t>
      </w:r>
      <w:r w:rsidRPr="0036280E">
        <w:rPr>
          <w:sz w:val="28"/>
          <w:szCs w:val="28"/>
        </w:rPr>
        <w:t xml:space="preserve">Проекта, в </w:t>
      </w:r>
      <w:r>
        <w:rPr>
          <w:sz w:val="28"/>
          <w:szCs w:val="28"/>
        </w:rPr>
        <w:t>202</w:t>
      </w:r>
      <w:r w:rsidR="009D1F20">
        <w:rPr>
          <w:sz w:val="28"/>
          <w:szCs w:val="28"/>
        </w:rPr>
        <w:t>3</w:t>
      </w:r>
      <w:r w:rsidRPr="0036280E">
        <w:rPr>
          <w:sz w:val="28"/>
          <w:szCs w:val="28"/>
        </w:rPr>
        <w:t xml:space="preserve"> году и в плановом периоде </w:t>
      </w:r>
      <w:r>
        <w:rPr>
          <w:sz w:val="28"/>
          <w:szCs w:val="28"/>
        </w:rPr>
        <w:t>202</w:t>
      </w:r>
      <w:r w:rsidR="009D1F20">
        <w:rPr>
          <w:sz w:val="28"/>
          <w:szCs w:val="28"/>
        </w:rPr>
        <w:t>4</w:t>
      </w:r>
      <w:r w:rsidRPr="0036280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9D1F20">
        <w:rPr>
          <w:sz w:val="28"/>
          <w:szCs w:val="28"/>
        </w:rPr>
        <w:t>5</w:t>
      </w:r>
      <w:r w:rsidRPr="0036280E">
        <w:rPr>
          <w:sz w:val="28"/>
          <w:szCs w:val="28"/>
        </w:rPr>
        <w:t xml:space="preserve"> годов не предусмотрено предоставление муниципальных гарантий</w:t>
      </w:r>
      <w:r>
        <w:rPr>
          <w:sz w:val="28"/>
          <w:szCs w:val="28"/>
        </w:rPr>
        <w:t>,</w:t>
      </w:r>
      <w:r w:rsidRPr="0036280E">
        <w:rPr>
          <w:sz w:val="28"/>
          <w:szCs w:val="28"/>
        </w:rPr>
        <w:t xml:space="preserve"> внутренних</w:t>
      </w:r>
      <w:r>
        <w:rPr>
          <w:sz w:val="28"/>
          <w:szCs w:val="28"/>
        </w:rPr>
        <w:t xml:space="preserve"> и внешних</w:t>
      </w:r>
      <w:r w:rsidRPr="0036280E">
        <w:rPr>
          <w:sz w:val="28"/>
          <w:szCs w:val="28"/>
        </w:rPr>
        <w:t xml:space="preserve"> заимствований</w:t>
      </w:r>
      <w:r>
        <w:rPr>
          <w:sz w:val="28"/>
          <w:szCs w:val="28"/>
        </w:rPr>
        <w:t>.</w:t>
      </w:r>
    </w:p>
    <w:p w:rsidR="00EC7737" w:rsidRDefault="00682650" w:rsidP="00EC7737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lastRenderedPageBreak/>
        <w:t xml:space="preserve">Расходы бюджета сформированы по программному принципу. Всего в бюджете </w:t>
      </w:r>
      <w:r w:rsidR="00BF1776" w:rsidRPr="00D179E2">
        <w:rPr>
          <w:sz w:val="28"/>
          <w:szCs w:val="28"/>
        </w:rPr>
        <w:t>Буранного</w:t>
      </w:r>
      <w:r w:rsidR="00394A32" w:rsidRPr="00D179E2">
        <w:rPr>
          <w:sz w:val="28"/>
          <w:szCs w:val="28"/>
        </w:rPr>
        <w:t xml:space="preserve"> сельского поселения </w:t>
      </w:r>
      <w:r w:rsidR="00F6279B">
        <w:rPr>
          <w:sz w:val="28"/>
          <w:szCs w:val="28"/>
        </w:rPr>
        <w:t>на 202</w:t>
      </w:r>
      <w:r w:rsidR="009D1F20">
        <w:rPr>
          <w:sz w:val="28"/>
          <w:szCs w:val="28"/>
        </w:rPr>
        <w:t>3</w:t>
      </w:r>
      <w:r w:rsidR="00F6279B">
        <w:rPr>
          <w:sz w:val="28"/>
          <w:szCs w:val="28"/>
        </w:rPr>
        <w:t xml:space="preserve"> год и на плановый период 202</w:t>
      </w:r>
      <w:r w:rsidR="009D1F20">
        <w:rPr>
          <w:sz w:val="28"/>
          <w:szCs w:val="28"/>
        </w:rPr>
        <w:t>4</w:t>
      </w:r>
      <w:r w:rsidR="00F6279B">
        <w:rPr>
          <w:sz w:val="28"/>
          <w:szCs w:val="28"/>
        </w:rPr>
        <w:t xml:space="preserve"> и 202</w:t>
      </w:r>
      <w:r w:rsidR="009D1F20">
        <w:rPr>
          <w:sz w:val="28"/>
          <w:szCs w:val="28"/>
        </w:rPr>
        <w:t>5</w:t>
      </w:r>
      <w:r w:rsidR="00F6279B">
        <w:rPr>
          <w:sz w:val="28"/>
          <w:szCs w:val="28"/>
        </w:rPr>
        <w:t xml:space="preserve"> годов</w:t>
      </w:r>
      <w:r w:rsidRPr="00D179E2">
        <w:rPr>
          <w:sz w:val="28"/>
          <w:szCs w:val="28"/>
        </w:rPr>
        <w:t xml:space="preserve"> </w:t>
      </w:r>
      <w:r w:rsidR="00B031FF" w:rsidRPr="00D179E2">
        <w:rPr>
          <w:sz w:val="28"/>
          <w:szCs w:val="28"/>
        </w:rPr>
        <w:t>запланирован</w:t>
      </w:r>
      <w:r w:rsidR="0056764F" w:rsidRPr="00D179E2">
        <w:rPr>
          <w:sz w:val="28"/>
          <w:szCs w:val="28"/>
        </w:rPr>
        <w:t>а</w:t>
      </w:r>
      <w:r w:rsidRPr="00D179E2">
        <w:rPr>
          <w:sz w:val="28"/>
          <w:szCs w:val="28"/>
        </w:rPr>
        <w:t xml:space="preserve"> </w:t>
      </w:r>
      <w:r w:rsidR="009D1F20">
        <w:rPr>
          <w:sz w:val="28"/>
          <w:szCs w:val="28"/>
        </w:rPr>
        <w:t xml:space="preserve"> одна</w:t>
      </w:r>
      <w:r w:rsidR="00DA27B4" w:rsidRPr="00D179E2">
        <w:rPr>
          <w:sz w:val="28"/>
          <w:szCs w:val="28"/>
        </w:rPr>
        <w:t xml:space="preserve"> муниципальная</w:t>
      </w:r>
      <w:r w:rsidRPr="00D179E2">
        <w:rPr>
          <w:sz w:val="28"/>
          <w:szCs w:val="28"/>
        </w:rPr>
        <w:t xml:space="preserve"> программ</w:t>
      </w:r>
      <w:proofErr w:type="gramStart"/>
      <w:r w:rsidR="00DA27B4" w:rsidRPr="00D179E2">
        <w:rPr>
          <w:sz w:val="28"/>
          <w:szCs w:val="28"/>
        </w:rPr>
        <w:t>а</w:t>
      </w:r>
      <w:r w:rsidR="009D1F20">
        <w:rPr>
          <w:sz w:val="28"/>
          <w:szCs w:val="28"/>
        </w:rPr>
        <w:t>-</w:t>
      </w:r>
      <w:proofErr w:type="gramEnd"/>
      <w:r w:rsidR="009D1F20">
        <w:rPr>
          <w:sz w:val="28"/>
          <w:szCs w:val="28"/>
        </w:rPr>
        <w:t xml:space="preserve"> «Развитие местного самоуправления и решение вопросов местного значения в Буранном сельском поселении на 2023 год и плановый период 2024 и 2025 годов», утверждена постановлением администрации Буранного сельского поселения от 08.11.2022 г. № 291.</w:t>
      </w:r>
    </w:p>
    <w:p w:rsidR="009D1F20" w:rsidRDefault="009D1F20" w:rsidP="00EC7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3 подпрограммы: </w:t>
      </w:r>
    </w:p>
    <w:p w:rsidR="00183B3B" w:rsidRDefault="009D1F20" w:rsidP="009D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183B3B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  «Муниципальное управление в Буранном сельском поселении</w:t>
      </w:r>
      <w:r w:rsidR="00183B3B">
        <w:rPr>
          <w:sz w:val="28"/>
          <w:szCs w:val="28"/>
        </w:rPr>
        <w:t xml:space="preserve"> Агаповского муниципального района на 2023-2025 годы»;</w:t>
      </w:r>
    </w:p>
    <w:p w:rsidR="00183B3B" w:rsidRDefault="00183B3B" w:rsidP="009D1F20">
      <w:pPr>
        <w:jc w:val="both"/>
        <w:rPr>
          <w:sz w:val="28"/>
          <w:szCs w:val="28"/>
        </w:rPr>
      </w:pPr>
      <w:r w:rsidRPr="00183B3B">
        <w:rPr>
          <w:sz w:val="28"/>
          <w:szCs w:val="28"/>
        </w:rPr>
        <w:t>–</w:t>
      </w:r>
      <w:r>
        <w:rPr>
          <w:sz w:val="28"/>
          <w:szCs w:val="28"/>
        </w:rPr>
        <w:t xml:space="preserve">  Подпрограмма «Бытовое обслуживание населения, содержание и безопасность территорий Буранного сельского поселения Агаповского муниципального района на 2023-2025 годы»;</w:t>
      </w:r>
    </w:p>
    <w:p w:rsidR="00183B3B" w:rsidRDefault="00183B3B" w:rsidP="009D1F20">
      <w:pPr>
        <w:jc w:val="both"/>
        <w:rPr>
          <w:sz w:val="28"/>
          <w:szCs w:val="28"/>
        </w:rPr>
      </w:pPr>
      <w:r w:rsidRPr="00183B3B">
        <w:rPr>
          <w:sz w:val="28"/>
          <w:szCs w:val="28"/>
        </w:rPr>
        <w:t xml:space="preserve">– Подпрограмма  </w:t>
      </w:r>
      <w:r>
        <w:rPr>
          <w:sz w:val="28"/>
          <w:szCs w:val="28"/>
        </w:rPr>
        <w:t>« Развитие культуры и массового спорта Буранного сельского поселения Агаповского муниципального района на 2023 -2025 годы».</w:t>
      </w:r>
    </w:p>
    <w:p w:rsidR="003B685F" w:rsidRDefault="003B685F" w:rsidP="003B685F">
      <w:pPr>
        <w:ind w:firstLine="708"/>
        <w:jc w:val="both"/>
        <w:rPr>
          <w:sz w:val="28"/>
          <w:szCs w:val="28"/>
        </w:rPr>
      </w:pPr>
      <w:r w:rsidRPr="003B685F">
        <w:rPr>
          <w:sz w:val="28"/>
          <w:szCs w:val="28"/>
        </w:rPr>
        <w:t xml:space="preserve">Межбюджетные трансферты бюджету Агаповского муниципального района из бюджета </w:t>
      </w:r>
      <w:r>
        <w:rPr>
          <w:sz w:val="28"/>
          <w:szCs w:val="28"/>
        </w:rPr>
        <w:t>Буранного сельского поселения в 2023-2025</w:t>
      </w:r>
      <w:r w:rsidRPr="003B685F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3B685F">
        <w:rPr>
          <w:sz w:val="28"/>
          <w:szCs w:val="28"/>
        </w:rPr>
        <w:t xml:space="preserve"> не запланированы.</w:t>
      </w:r>
    </w:p>
    <w:p w:rsidR="00AF7079" w:rsidRPr="00074F18" w:rsidRDefault="00AF7079" w:rsidP="00074F18">
      <w:pPr>
        <w:pStyle w:val="af3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 w:rsidRPr="00074F18">
        <w:rPr>
          <w:b/>
          <w:bCs/>
          <w:sz w:val="28"/>
          <w:szCs w:val="28"/>
        </w:rPr>
        <w:t>Д</w:t>
      </w:r>
      <w:r w:rsidR="009704BF" w:rsidRPr="00074F18">
        <w:rPr>
          <w:b/>
          <w:bCs/>
          <w:sz w:val="28"/>
          <w:szCs w:val="28"/>
        </w:rPr>
        <w:t xml:space="preserve">оходы бюджета </w:t>
      </w:r>
      <w:r w:rsidR="00BF1776" w:rsidRPr="00074F18">
        <w:rPr>
          <w:b/>
          <w:bCs/>
          <w:sz w:val="28"/>
          <w:szCs w:val="28"/>
        </w:rPr>
        <w:t>Буранного</w:t>
      </w:r>
      <w:r w:rsidR="009704BF" w:rsidRPr="00074F18">
        <w:rPr>
          <w:b/>
          <w:bCs/>
          <w:sz w:val="28"/>
          <w:szCs w:val="28"/>
        </w:rPr>
        <w:t xml:space="preserve"> сельского поселения.</w:t>
      </w:r>
    </w:p>
    <w:p w:rsidR="00657EFE" w:rsidRPr="008A180B" w:rsidRDefault="00657EFE" w:rsidP="00657EFE">
      <w:pPr>
        <w:ind w:firstLine="720"/>
        <w:jc w:val="both"/>
        <w:rPr>
          <w:color w:val="FF0000"/>
          <w:sz w:val="28"/>
          <w:szCs w:val="28"/>
        </w:rPr>
      </w:pPr>
      <w:r w:rsidRPr="008A180B">
        <w:rPr>
          <w:sz w:val="28"/>
          <w:szCs w:val="28"/>
        </w:rPr>
        <w:t>Проект бюджета</w:t>
      </w:r>
      <w:r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74F18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год сформирован по доходам в сумме </w:t>
      </w:r>
      <w:r>
        <w:rPr>
          <w:sz w:val="28"/>
          <w:szCs w:val="28"/>
        </w:rPr>
        <w:t>21</w:t>
      </w:r>
      <w:r w:rsidR="00074F18">
        <w:rPr>
          <w:sz w:val="28"/>
          <w:szCs w:val="28"/>
        </w:rPr>
        <w:t> 076,16</w:t>
      </w:r>
      <w:r w:rsidRPr="008A180B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на</w:t>
      </w:r>
      <w:r w:rsidRPr="008A180B">
        <w:rPr>
          <w:sz w:val="28"/>
          <w:szCs w:val="28"/>
        </w:rPr>
        <w:t xml:space="preserve"> </w:t>
      </w:r>
      <w:r w:rsidR="00074F18">
        <w:rPr>
          <w:sz w:val="28"/>
          <w:szCs w:val="28"/>
        </w:rPr>
        <w:t>0,29</w:t>
      </w:r>
      <w:r w:rsidRPr="008A180B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024A7C">
        <w:rPr>
          <w:sz w:val="28"/>
          <w:szCs w:val="28"/>
        </w:rPr>
        <w:t xml:space="preserve">(62,14 тыс. рублей) </w:t>
      </w:r>
      <w:r w:rsidR="00074F18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первоначально запланированного в</w:t>
      </w:r>
      <w:r w:rsidRPr="008A18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A180B">
        <w:rPr>
          <w:sz w:val="28"/>
          <w:szCs w:val="28"/>
        </w:rPr>
        <w:t>роект</w:t>
      </w:r>
      <w:r>
        <w:rPr>
          <w:sz w:val="28"/>
          <w:szCs w:val="28"/>
        </w:rPr>
        <w:t>е бюджета</w:t>
      </w:r>
      <w:r w:rsidRPr="008A1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A180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74F18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год, в том числе собственные доходы составили в сумме </w:t>
      </w:r>
      <w:r w:rsidR="00074F18">
        <w:rPr>
          <w:sz w:val="28"/>
          <w:szCs w:val="28"/>
        </w:rPr>
        <w:t>5 683,90</w:t>
      </w:r>
      <w:r w:rsidRPr="008A180B">
        <w:rPr>
          <w:sz w:val="28"/>
          <w:szCs w:val="28"/>
        </w:rPr>
        <w:t xml:space="preserve"> тыс. рублей, безвозмездные поступления в сумме </w:t>
      </w:r>
      <w:r w:rsidR="00074F18">
        <w:rPr>
          <w:sz w:val="28"/>
          <w:szCs w:val="28"/>
        </w:rPr>
        <w:t>15 392,26</w:t>
      </w:r>
      <w:r w:rsidRPr="008A180B">
        <w:rPr>
          <w:sz w:val="28"/>
          <w:szCs w:val="28"/>
        </w:rPr>
        <w:t>тыс. рублей.</w:t>
      </w:r>
      <w:r w:rsidRPr="008A180B">
        <w:rPr>
          <w:color w:val="FF0000"/>
          <w:sz w:val="28"/>
          <w:szCs w:val="28"/>
        </w:rPr>
        <w:t xml:space="preserve"> </w:t>
      </w:r>
    </w:p>
    <w:p w:rsidR="00657EFE" w:rsidRPr="008A180B" w:rsidRDefault="00657EFE" w:rsidP="00657EFE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Проект бюджета на плановый период 202</w:t>
      </w:r>
      <w:r w:rsidR="00074F18">
        <w:rPr>
          <w:sz w:val="28"/>
          <w:szCs w:val="28"/>
        </w:rPr>
        <w:t>4</w:t>
      </w:r>
      <w:r w:rsidRPr="008A180B">
        <w:rPr>
          <w:sz w:val="28"/>
          <w:szCs w:val="28"/>
        </w:rPr>
        <w:t xml:space="preserve"> и 202</w:t>
      </w:r>
      <w:r w:rsidR="00074F18">
        <w:rPr>
          <w:sz w:val="28"/>
          <w:szCs w:val="28"/>
        </w:rPr>
        <w:t>5</w:t>
      </w:r>
      <w:r w:rsidRPr="008A180B">
        <w:rPr>
          <w:sz w:val="28"/>
          <w:szCs w:val="28"/>
        </w:rPr>
        <w:t xml:space="preserve"> годов сформирован по доходам в сумме </w:t>
      </w:r>
      <w:r w:rsidR="00074F18">
        <w:rPr>
          <w:sz w:val="28"/>
          <w:szCs w:val="28"/>
        </w:rPr>
        <w:t>14 808,78</w:t>
      </w:r>
      <w:r w:rsidRPr="008A180B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1</w:t>
      </w:r>
      <w:r w:rsidR="00074F18">
        <w:rPr>
          <w:sz w:val="28"/>
          <w:szCs w:val="28"/>
        </w:rPr>
        <w:t>5 245,66</w:t>
      </w:r>
      <w:r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>тыс. рублей соответственно.</w:t>
      </w:r>
    </w:p>
    <w:p w:rsidR="008F2481" w:rsidRPr="00D179E2" w:rsidRDefault="00AF7079" w:rsidP="00023394">
      <w:pPr>
        <w:ind w:firstLine="720"/>
        <w:jc w:val="both"/>
        <w:rPr>
          <w:sz w:val="28"/>
          <w:szCs w:val="28"/>
        </w:rPr>
      </w:pPr>
      <w:r w:rsidRPr="00823BA8">
        <w:rPr>
          <w:sz w:val="28"/>
          <w:szCs w:val="28"/>
        </w:rPr>
        <w:t xml:space="preserve">Структура доходов </w:t>
      </w:r>
      <w:r w:rsidR="008A4F18" w:rsidRPr="00823BA8">
        <w:rPr>
          <w:sz w:val="28"/>
          <w:szCs w:val="28"/>
        </w:rPr>
        <w:t>П</w:t>
      </w:r>
      <w:r w:rsidRPr="00823BA8">
        <w:rPr>
          <w:sz w:val="28"/>
          <w:szCs w:val="28"/>
        </w:rPr>
        <w:t xml:space="preserve">роекта бюджета на </w:t>
      </w:r>
      <w:r w:rsidR="00314465" w:rsidRPr="00823BA8">
        <w:rPr>
          <w:sz w:val="28"/>
          <w:szCs w:val="28"/>
        </w:rPr>
        <w:t>20</w:t>
      </w:r>
      <w:r w:rsidR="00F15F90" w:rsidRPr="00823BA8">
        <w:rPr>
          <w:sz w:val="28"/>
          <w:szCs w:val="28"/>
        </w:rPr>
        <w:t>2</w:t>
      </w:r>
      <w:r w:rsidR="00074F18">
        <w:rPr>
          <w:sz w:val="28"/>
          <w:szCs w:val="28"/>
        </w:rPr>
        <w:t>3</w:t>
      </w:r>
      <w:r w:rsidR="005664CB" w:rsidRPr="00823BA8">
        <w:rPr>
          <w:sz w:val="28"/>
          <w:szCs w:val="28"/>
        </w:rPr>
        <w:t xml:space="preserve"> - 202</w:t>
      </w:r>
      <w:r w:rsidR="00074F18">
        <w:rPr>
          <w:sz w:val="28"/>
          <w:szCs w:val="28"/>
        </w:rPr>
        <w:t>5</w:t>
      </w:r>
      <w:r w:rsidRPr="00823BA8">
        <w:rPr>
          <w:sz w:val="28"/>
          <w:szCs w:val="28"/>
        </w:rPr>
        <w:t xml:space="preserve"> гг. в сравнении с </w:t>
      </w:r>
      <w:r w:rsidR="009D5CCE" w:rsidRPr="00823BA8">
        <w:rPr>
          <w:sz w:val="28"/>
          <w:szCs w:val="28"/>
        </w:rPr>
        <w:t>20</w:t>
      </w:r>
      <w:r w:rsidR="00497A07">
        <w:rPr>
          <w:sz w:val="28"/>
          <w:szCs w:val="28"/>
        </w:rPr>
        <w:t>2</w:t>
      </w:r>
      <w:r w:rsidR="00074F18">
        <w:rPr>
          <w:sz w:val="28"/>
          <w:szCs w:val="28"/>
        </w:rPr>
        <w:t>2</w:t>
      </w:r>
      <w:r w:rsidRPr="00823BA8">
        <w:rPr>
          <w:sz w:val="28"/>
          <w:szCs w:val="28"/>
        </w:rPr>
        <w:t xml:space="preserve"> годом имеет следующий вид:</w:t>
      </w:r>
    </w:p>
    <w:p w:rsidR="000837BC" w:rsidRPr="00D179E2" w:rsidRDefault="000837BC" w:rsidP="000837BC">
      <w:pPr>
        <w:jc w:val="right"/>
        <w:rPr>
          <w:sz w:val="28"/>
          <w:szCs w:val="28"/>
        </w:rPr>
      </w:pPr>
      <w:r w:rsidRPr="00D179E2">
        <w:rPr>
          <w:sz w:val="28"/>
          <w:szCs w:val="28"/>
        </w:rPr>
        <w:t>тыс. рублей</w:t>
      </w:r>
      <w:r w:rsidRPr="00D179E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7F8C" w:rsidRDefault="001A7F8C" w:rsidP="001A7F8C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lastRenderedPageBreak/>
        <w:t>Доходы Проекта бюджета на 20</w:t>
      </w:r>
      <w:r>
        <w:rPr>
          <w:sz w:val="28"/>
          <w:szCs w:val="28"/>
        </w:rPr>
        <w:t>2</w:t>
      </w:r>
      <w:r w:rsidR="00074F18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год в значительной мере сформированы за счет </w:t>
      </w:r>
      <w:r>
        <w:rPr>
          <w:sz w:val="28"/>
          <w:szCs w:val="28"/>
        </w:rPr>
        <w:t>безвозмездных поступлений</w:t>
      </w:r>
      <w:r w:rsidRPr="008A180B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="00074F18">
        <w:rPr>
          <w:sz w:val="28"/>
          <w:szCs w:val="28"/>
        </w:rPr>
        <w:t> 392,26</w:t>
      </w:r>
      <w:r w:rsidRPr="008A180B">
        <w:rPr>
          <w:sz w:val="28"/>
          <w:szCs w:val="28"/>
        </w:rPr>
        <w:t xml:space="preserve"> тыс. рублей, доля котор</w:t>
      </w:r>
      <w:r>
        <w:rPr>
          <w:sz w:val="28"/>
          <w:szCs w:val="28"/>
        </w:rPr>
        <w:t>ых</w:t>
      </w:r>
      <w:r w:rsidRPr="008A180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7</w:t>
      </w:r>
      <w:r w:rsidR="00074F18">
        <w:rPr>
          <w:sz w:val="28"/>
          <w:szCs w:val="28"/>
        </w:rPr>
        <w:t>3,03</w:t>
      </w:r>
      <w:r w:rsidRPr="008A180B">
        <w:rPr>
          <w:sz w:val="28"/>
          <w:szCs w:val="28"/>
        </w:rPr>
        <w:t xml:space="preserve"> %. Собственные доходы в проекте бюджета на 20</w:t>
      </w:r>
      <w:r>
        <w:rPr>
          <w:sz w:val="28"/>
          <w:szCs w:val="28"/>
        </w:rPr>
        <w:t>2</w:t>
      </w:r>
      <w:r w:rsidR="00074F18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год составляют </w:t>
      </w:r>
      <w:r>
        <w:rPr>
          <w:sz w:val="28"/>
          <w:szCs w:val="28"/>
        </w:rPr>
        <w:t>5</w:t>
      </w:r>
      <w:r w:rsidR="00074F18">
        <w:rPr>
          <w:sz w:val="28"/>
          <w:szCs w:val="28"/>
        </w:rPr>
        <w:t> 683,90</w:t>
      </w:r>
      <w:r w:rsidRPr="008A180B">
        <w:rPr>
          <w:sz w:val="28"/>
          <w:szCs w:val="28"/>
        </w:rPr>
        <w:t xml:space="preserve"> тыс. рублей, доля в доходах бюджета составляет – </w:t>
      </w:r>
      <w:r>
        <w:rPr>
          <w:sz w:val="28"/>
          <w:szCs w:val="28"/>
        </w:rPr>
        <w:t>2</w:t>
      </w:r>
      <w:r w:rsidR="00074F18">
        <w:rPr>
          <w:sz w:val="28"/>
          <w:szCs w:val="28"/>
        </w:rPr>
        <w:t>6,97</w:t>
      </w:r>
      <w:r w:rsidRPr="008A180B">
        <w:rPr>
          <w:sz w:val="28"/>
          <w:szCs w:val="28"/>
        </w:rPr>
        <w:t xml:space="preserve">%. </w:t>
      </w:r>
    </w:p>
    <w:p w:rsidR="00B62B20" w:rsidRPr="008A180B" w:rsidRDefault="00B62B20" w:rsidP="001A7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налоговые доходы </w:t>
      </w:r>
      <w:r w:rsidRPr="00B62B20">
        <w:rPr>
          <w:sz w:val="28"/>
          <w:szCs w:val="28"/>
        </w:rPr>
        <w:t>увеличены на 190,10 тыс. рублей (3,80%) от уровня проекта 2022 года и составили 5 192,00 тыс. рублей.</w:t>
      </w:r>
    </w:p>
    <w:p w:rsidR="00B62B20" w:rsidRDefault="000837BC" w:rsidP="000837BC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В </w:t>
      </w:r>
      <w:r w:rsidR="00314465" w:rsidRPr="00D179E2">
        <w:rPr>
          <w:sz w:val="28"/>
          <w:szCs w:val="28"/>
        </w:rPr>
        <w:t>20</w:t>
      </w:r>
      <w:r w:rsidR="00F15F90">
        <w:rPr>
          <w:sz w:val="28"/>
          <w:szCs w:val="28"/>
        </w:rPr>
        <w:t>2</w:t>
      </w:r>
      <w:r w:rsidR="003A4998">
        <w:rPr>
          <w:sz w:val="28"/>
          <w:szCs w:val="28"/>
        </w:rPr>
        <w:t>4</w:t>
      </w:r>
      <w:r w:rsidR="00B62B20">
        <w:rPr>
          <w:sz w:val="28"/>
          <w:szCs w:val="28"/>
        </w:rPr>
        <w:t>-202</w:t>
      </w:r>
      <w:r w:rsidR="003A4998">
        <w:rPr>
          <w:sz w:val="28"/>
          <w:szCs w:val="28"/>
        </w:rPr>
        <w:t>5</w:t>
      </w:r>
      <w:r w:rsidR="00B62B20">
        <w:rPr>
          <w:sz w:val="28"/>
          <w:szCs w:val="28"/>
        </w:rPr>
        <w:t xml:space="preserve"> годах планируется рост на</w:t>
      </w:r>
      <w:r w:rsidRPr="00D179E2">
        <w:rPr>
          <w:sz w:val="28"/>
          <w:szCs w:val="28"/>
        </w:rPr>
        <w:t>логовы</w:t>
      </w:r>
      <w:r w:rsidR="00B62B20">
        <w:rPr>
          <w:sz w:val="28"/>
          <w:szCs w:val="28"/>
        </w:rPr>
        <w:t>х</w:t>
      </w:r>
      <w:r w:rsidRPr="00D179E2">
        <w:rPr>
          <w:sz w:val="28"/>
          <w:szCs w:val="28"/>
        </w:rPr>
        <w:t xml:space="preserve"> доход</w:t>
      </w:r>
      <w:r w:rsidR="00B62B20">
        <w:rPr>
          <w:sz w:val="28"/>
          <w:szCs w:val="28"/>
        </w:rPr>
        <w:t>ов относительно  2022 года, в 202</w:t>
      </w:r>
      <w:r w:rsidR="003A4998">
        <w:rPr>
          <w:sz w:val="28"/>
          <w:szCs w:val="28"/>
        </w:rPr>
        <w:t>4</w:t>
      </w:r>
      <w:r w:rsidR="00B62B20">
        <w:rPr>
          <w:sz w:val="28"/>
          <w:szCs w:val="28"/>
        </w:rPr>
        <w:t xml:space="preserve"> году налоговые доходы составят 106,08% (5 306,00 тыс. рублей), в 2025 году – 113,</w:t>
      </w:r>
      <w:r w:rsidR="003A4998">
        <w:rPr>
          <w:sz w:val="28"/>
          <w:szCs w:val="28"/>
        </w:rPr>
        <w:t>32% (</w:t>
      </w:r>
      <w:r w:rsidR="00B62B20">
        <w:rPr>
          <w:sz w:val="28"/>
          <w:szCs w:val="28"/>
        </w:rPr>
        <w:t>5 668,00 тыс. рублей)</w:t>
      </w:r>
      <w:r w:rsidRPr="00D179E2">
        <w:rPr>
          <w:sz w:val="28"/>
          <w:szCs w:val="28"/>
        </w:rPr>
        <w:t xml:space="preserve"> </w:t>
      </w:r>
      <w:r w:rsidR="00B62B20">
        <w:rPr>
          <w:sz w:val="28"/>
          <w:szCs w:val="28"/>
        </w:rPr>
        <w:t xml:space="preserve"> от проекта 2022 года.</w:t>
      </w:r>
    </w:p>
    <w:p w:rsidR="003D13CB" w:rsidRPr="00D179E2" w:rsidRDefault="003D13CB" w:rsidP="003D13CB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Показатели по доходам </w:t>
      </w:r>
      <w:r w:rsidR="00F6279B">
        <w:rPr>
          <w:sz w:val="28"/>
          <w:szCs w:val="28"/>
        </w:rPr>
        <w:t>на 202</w:t>
      </w:r>
      <w:r w:rsidR="003A4998">
        <w:rPr>
          <w:sz w:val="28"/>
          <w:szCs w:val="28"/>
        </w:rPr>
        <w:t>3</w:t>
      </w:r>
      <w:r w:rsidR="00F6279B">
        <w:rPr>
          <w:sz w:val="28"/>
          <w:szCs w:val="28"/>
        </w:rPr>
        <w:t xml:space="preserve"> год и на плановый период 202</w:t>
      </w:r>
      <w:r w:rsidR="003A4998">
        <w:rPr>
          <w:sz w:val="28"/>
          <w:szCs w:val="28"/>
        </w:rPr>
        <w:t>4</w:t>
      </w:r>
      <w:r w:rsidR="00F6279B">
        <w:rPr>
          <w:sz w:val="28"/>
          <w:szCs w:val="28"/>
        </w:rPr>
        <w:t xml:space="preserve"> и 202</w:t>
      </w:r>
      <w:r w:rsidR="003A4998">
        <w:rPr>
          <w:sz w:val="28"/>
          <w:szCs w:val="28"/>
        </w:rPr>
        <w:t>5</w:t>
      </w:r>
      <w:r w:rsidR="00F6279B">
        <w:rPr>
          <w:sz w:val="28"/>
          <w:szCs w:val="28"/>
        </w:rPr>
        <w:t xml:space="preserve"> годов</w:t>
      </w:r>
      <w:r w:rsidRPr="00D179E2">
        <w:rPr>
          <w:sz w:val="28"/>
          <w:szCs w:val="28"/>
        </w:rPr>
        <w:t xml:space="preserve"> представлены в таблице:</w:t>
      </w:r>
    </w:p>
    <w:p w:rsidR="000837BC" w:rsidRPr="00CA57F6" w:rsidRDefault="000837BC" w:rsidP="000837BC">
      <w:pPr>
        <w:ind w:firstLine="720"/>
        <w:jc w:val="right"/>
        <w:rPr>
          <w:sz w:val="24"/>
          <w:szCs w:val="24"/>
        </w:rPr>
      </w:pPr>
      <w:r w:rsidRPr="00CA57F6">
        <w:rPr>
          <w:sz w:val="24"/>
          <w:szCs w:val="24"/>
        </w:rPr>
        <w:t>тыс. рублей</w:t>
      </w:r>
    </w:p>
    <w:tbl>
      <w:tblPr>
        <w:tblW w:w="107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1134"/>
        <w:gridCol w:w="1134"/>
        <w:gridCol w:w="1276"/>
        <w:gridCol w:w="1276"/>
        <w:gridCol w:w="1289"/>
      </w:tblGrid>
      <w:tr w:rsidR="00CA57F6" w:rsidRPr="00CA57F6" w:rsidTr="00CA57F6">
        <w:trPr>
          <w:trHeight w:val="29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7F6" w:rsidRPr="00CA57F6" w:rsidRDefault="00CA57F6" w:rsidP="00CA57F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>Вид дохода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7F6" w:rsidRPr="00CA57F6" w:rsidRDefault="00CA57F6" w:rsidP="00074F18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sz w:val="22"/>
                <w:szCs w:val="22"/>
                <w:lang w:eastAsia="ja-JP"/>
              </w:rPr>
              <w:t>202</w:t>
            </w:r>
            <w:r w:rsidR="00074F18">
              <w:rPr>
                <w:b/>
                <w:bCs/>
                <w:sz w:val="22"/>
                <w:szCs w:val="22"/>
                <w:lang w:eastAsia="ja-JP"/>
              </w:rPr>
              <w:t>2</w:t>
            </w:r>
            <w:r w:rsidRPr="00CA57F6">
              <w:rPr>
                <w:b/>
                <w:bCs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57F6" w:rsidRPr="00CA57F6" w:rsidRDefault="00CA57F6" w:rsidP="00074F1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>202</w:t>
            </w:r>
            <w:r w:rsidR="00074F18">
              <w:rPr>
                <w:b/>
                <w:bCs/>
                <w:color w:val="000000"/>
                <w:sz w:val="22"/>
                <w:szCs w:val="22"/>
                <w:lang w:eastAsia="ja-JP"/>
              </w:rPr>
              <w:t>3</w:t>
            </w: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7F6" w:rsidRPr="00CA57F6" w:rsidRDefault="00CA57F6" w:rsidP="00074F1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>202</w:t>
            </w:r>
            <w:r w:rsidR="00074F18">
              <w:rPr>
                <w:b/>
                <w:bCs/>
                <w:color w:val="000000"/>
                <w:sz w:val="22"/>
                <w:szCs w:val="22"/>
                <w:lang w:eastAsia="ja-JP"/>
              </w:rPr>
              <w:t>4</w:t>
            </w: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7F6" w:rsidRPr="00CA57F6" w:rsidRDefault="00CA57F6" w:rsidP="00074F1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>202</w:t>
            </w:r>
            <w:r w:rsidR="00074F18">
              <w:rPr>
                <w:b/>
                <w:bCs/>
                <w:color w:val="000000"/>
                <w:sz w:val="22"/>
                <w:szCs w:val="22"/>
                <w:lang w:eastAsia="ja-JP"/>
              </w:rPr>
              <w:t>5</w:t>
            </w: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7F6" w:rsidRPr="00CA57F6" w:rsidRDefault="00CA57F6" w:rsidP="00074F1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>202</w:t>
            </w:r>
            <w:r w:rsidR="00074F18">
              <w:rPr>
                <w:b/>
                <w:bCs/>
                <w:color w:val="000000"/>
                <w:sz w:val="22"/>
                <w:szCs w:val="22"/>
                <w:lang w:eastAsia="ja-JP"/>
              </w:rPr>
              <w:t>3</w:t>
            </w: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г. % от 202</w:t>
            </w:r>
            <w:r w:rsidR="00074F18">
              <w:rPr>
                <w:b/>
                <w:bCs/>
                <w:color w:val="000000"/>
                <w:sz w:val="22"/>
                <w:szCs w:val="22"/>
                <w:lang w:eastAsia="ja-JP"/>
              </w:rPr>
              <w:t>2</w:t>
            </w: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7F6" w:rsidRPr="00CA57F6" w:rsidRDefault="00CA57F6" w:rsidP="00074F1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>202</w:t>
            </w:r>
            <w:r w:rsidR="00074F18">
              <w:rPr>
                <w:b/>
                <w:bCs/>
                <w:color w:val="000000"/>
                <w:sz w:val="22"/>
                <w:szCs w:val="22"/>
                <w:lang w:eastAsia="ja-JP"/>
              </w:rPr>
              <w:t>4 г.- % от 2022</w:t>
            </w: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57F6" w:rsidRPr="00CA57F6" w:rsidRDefault="00CA57F6" w:rsidP="00074F18">
            <w:pPr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>202</w:t>
            </w:r>
            <w:r w:rsidR="00074F18">
              <w:rPr>
                <w:b/>
                <w:bCs/>
                <w:color w:val="000000"/>
                <w:sz w:val="22"/>
                <w:szCs w:val="22"/>
                <w:lang w:eastAsia="ja-JP"/>
              </w:rPr>
              <w:t>5</w:t>
            </w: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г. - % от 202</w:t>
            </w:r>
            <w:r w:rsidR="00074F18">
              <w:rPr>
                <w:b/>
                <w:bCs/>
                <w:color w:val="000000"/>
                <w:sz w:val="22"/>
                <w:szCs w:val="22"/>
                <w:lang w:eastAsia="ja-JP"/>
              </w:rPr>
              <w:t>2</w:t>
            </w: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</w:tr>
      <w:tr w:rsidR="00074F18" w:rsidRPr="00CA57F6" w:rsidTr="0082016F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CA57F6" w:rsidRDefault="00074F18" w:rsidP="00CA57F6">
            <w:pPr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5 251,90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5 683,90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5 797,90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6 159,50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108,23%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110,40%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117,28%</w:t>
            </w:r>
          </w:p>
        </w:tc>
      </w:tr>
      <w:tr w:rsidR="00074F18" w:rsidRPr="00CA57F6" w:rsidTr="0082016F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CA57F6" w:rsidRDefault="00074F18" w:rsidP="00CA57F6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В т.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CA57F6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ч.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5 001,90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5 192,00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5 306,00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5 668,00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103,80%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106,08%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113,32%</w:t>
            </w:r>
          </w:p>
        </w:tc>
      </w:tr>
      <w:tr w:rsidR="00074F18" w:rsidRPr="00CA57F6" w:rsidTr="0082016F">
        <w:trPr>
          <w:trHeight w:val="6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CA57F6" w:rsidRDefault="00074F18" w:rsidP="00CA57F6">
            <w:pPr>
              <w:rPr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color w:val="000000"/>
                <w:sz w:val="22"/>
                <w:szCs w:val="22"/>
                <w:lang w:eastAsia="ja-JP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1 746,00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1 702,00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104,95%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112,28%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109,45%</w:t>
            </w:r>
          </w:p>
        </w:tc>
      </w:tr>
      <w:tr w:rsidR="00074F18" w:rsidRPr="00CA57F6" w:rsidTr="0082016F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F18" w:rsidRPr="00CA57F6" w:rsidRDefault="00074F18" w:rsidP="00CA57F6">
            <w:pPr>
              <w:rPr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color w:val="000000"/>
                <w:sz w:val="22"/>
                <w:szCs w:val="22"/>
                <w:lang w:eastAsia="ja-JP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406,00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0,00%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217,23%</w:t>
            </w:r>
          </w:p>
        </w:tc>
      </w:tr>
      <w:tr w:rsidR="00074F18" w:rsidRPr="00CA57F6" w:rsidTr="0082016F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F18" w:rsidRPr="00CA57F6" w:rsidRDefault="00074F18" w:rsidP="00CA57F6">
            <w:pPr>
              <w:rPr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color w:val="000000"/>
                <w:sz w:val="22"/>
                <w:szCs w:val="22"/>
                <w:lang w:eastAsia="ja-JP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100,00%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100,00%</w:t>
            </w:r>
          </w:p>
        </w:tc>
      </w:tr>
      <w:tr w:rsidR="00074F18" w:rsidRPr="00CA57F6" w:rsidTr="0082016F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CA57F6" w:rsidRDefault="00074F18" w:rsidP="00CA57F6">
            <w:pPr>
              <w:rPr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color w:val="000000"/>
                <w:sz w:val="22"/>
                <w:szCs w:val="22"/>
                <w:lang w:eastAsia="ja-JP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112,50%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112,50%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112,50%</w:t>
            </w:r>
          </w:p>
        </w:tc>
      </w:tr>
      <w:tr w:rsidR="00074F18" w:rsidRPr="00CA57F6" w:rsidTr="0082016F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CA57F6" w:rsidRDefault="00074F18" w:rsidP="00CA57F6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491,90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491,90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491,50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196,76%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196,76%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196,60%</w:t>
            </w:r>
          </w:p>
        </w:tc>
      </w:tr>
      <w:tr w:rsidR="00074F18" w:rsidRPr="00CA57F6" w:rsidTr="0082016F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CA57F6" w:rsidRDefault="00074F18" w:rsidP="00CA57F6">
            <w:pPr>
              <w:rPr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color w:val="000000"/>
                <w:sz w:val="22"/>
                <w:szCs w:val="22"/>
                <w:lang w:eastAsia="ja-JP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361,90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361,90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361,50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301,58%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301,58%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301,25%</w:t>
            </w:r>
          </w:p>
        </w:tc>
      </w:tr>
      <w:tr w:rsidR="00074F18" w:rsidRPr="00CA57F6" w:rsidTr="0082016F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CA57F6" w:rsidRDefault="00074F18" w:rsidP="00CA57F6">
            <w:pPr>
              <w:rPr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color w:val="000000"/>
                <w:sz w:val="22"/>
                <w:szCs w:val="22"/>
                <w:lang w:eastAsia="ja-JP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100,00%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sz w:val="22"/>
                <w:szCs w:val="22"/>
              </w:rPr>
            </w:pPr>
            <w:r w:rsidRPr="00074F18">
              <w:rPr>
                <w:sz w:val="22"/>
                <w:szCs w:val="22"/>
              </w:rPr>
              <w:t>100,00%</w:t>
            </w:r>
          </w:p>
        </w:tc>
      </w:tr>
      <w:tr w:rsidR="00074F18" w:rsidRPr="00CA57F6" w:rsidTr="0082016F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CA57F6" w:rsidRDefault="00074F18" w:rsidP="00CA57F6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i/>
                <w:iCs/>
                <w:color w:val="000000"/>
                <w:sz w:val="22"/>
                <w:szCs w:val="22"/>
                <w:lang w:eastAsia="ja-JP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15 886,40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15 392,26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9 010,88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9 086,16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96,89%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56,72%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i/>
                <w:sz w:val="22"/>
                <w:szCs w:val="22"/>
              </w:rPr>
            </w:pPr>
            <w:r w:rsidRPr="00074F18">
              <w:rPr>
                <w:b/>
                <w:i/>
                <w:sz w:val="22"/>
                <w:szCs w:val="22"/>
              </w:rPr>
              <w:t>57,19%</w:t>
            </w:r>
          </w:p>
        </w:tc>
      </w:tr>
      <w:tr w:rsidR="00074F18" w:rsidRPr="00CA57F6" w:rsidTr="0082016F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CA57F6" w:rsidRDefault="00074F18" w:rsidP="00CA57F6">
            <w:pPr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CA57F6">
              <w:rPr>
                <w:b/>
                <w:bCs/>
                <w:color w:val="000000"/>
                <w:sz w:val="22"/>
                <w:szCs w:val="22"/>
                <w:lang w:eastAsia="ja-JP"/>
              </w:rPr>
              <w:t xml:space="preserve">Итого </w:t>
            </w: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21 138,30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21 076,16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14 808,78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15 245,66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99,71%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70,06%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4F18" w:rsidRPr="00074F18" w:rsidRDefault="00074F18" w:rsidP="00074F18">
            <w:pPr>
              <w:jc w:val="center"/>
              <w:rPr>
                <w:b/>
                <w:sz w:val="22"/>
                <w:szCs w:val="22"/>
              </w:rPr>
            </w:pPr>
            <w:r w:rsidRPr="00074F18">
              <w:rPr>
                <w:b/>
                <w:sz w:val="22"/>
                <w:szCs w:val="22"/>
              </w:rPr>
              <w:t>72,12%</w:t>
            </w:r>
          </w:p>
        </w:tc>
      </w:tr>
    </w:tbl>
    <w:p w:rsidR="003D13CB" w:rsidRPr="00D179E2" w:rsidRDefault="003D13CB" w:rsidP="000837BC">
      <w:pPr>
        <w:ind w:firstLine="720"/>
        <w:jc w:val="right"/>
        <w:rPr>
          <w:sz w:val="28"/>
          <w:szCs w:val="28"/>
        </w:rPr>
      </w:pPr>
    </w:p>
    <w:p w:rsidR="00F14967" w:rsidRPr="008A180B" w:rsidRDefault="00F14967" w:rsidP="00F14967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Из таблицы следует, что в Проекте бюджета на 20</w:t>
      </w:r>
      <w:r>
        <w:rPr>
          <w:sz w:val="28"/>
          <w:szCs w:val="28"/>
        </w:rPr>
        <w:t>2</w:t>
      </w:r>
      <w:r w:rsidR="003A499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A4998">
        <w:rPr>
          <w:sz w:val="28"/>
          <w:szCs w:val="28"/>
        </w:rPr>
        <w:t>5</w:t>
      </w:r>
      <w:r w:rsidRPr="008A180B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8A180B">
        <w:rPr>
          <w:sz w:val="28"/>
          <w:szCs w:val="28"/>
        </w:rPr>
        <w:t xml:space="preserve"> показатели по налоговым доходам увеличены</w:t>
      </w:r>
      <w:r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 xml:space="preserve">по </w:t>
      </w:r>
      <w:r>
        <w:rPr>
          <w:sz w:val="28"/>
          <w:szCs w:val="28"/>
        </w:rPr>
        <w:t>налогу на доходы физических лиц,</w:t>
      </w:r>
      <w:r w:rsidR="003A4998">
        <w:rPr>
          <w:sz w:val="28"/>
          <w:szCs w:val="28"/>
        </w:rPr>
        <w:t xml:space="preserve"> по земельному налогу,   уменьшены</w:t>
      </w:r>
      <w:r>
        <w:rPr>
          <w:sz w:val="28"/>
          <w:szCs w:val="28"/>
        </w:rPr>
        <w:t xml:space="preserve"> по налогам на совокупный доход,</w:t>
      </w:r>
      <w:r w:rsidR="003A499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прежнем уровне налог на имущество физических лиц.</w:t>
      </w:r>
      <w:r w:rsidRPr="008A180B">
        <w:rPr>
          <w:sz w:val="28"/>
          <w:szCs w:val="28"/>
        </w:rPr>
        <w:t xml:space="preserve"> </w:t>
      </w:r>
    </w:p>
    <w:p w:rsidR="000837BC" w:rsidRDefault="000837BC" w:rsidP="000837BC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Неналоговые доходы в </w:t>
      </w:r>
      <w:r w:rsidR="00F14967">
        <w:rPr>
          <w:sz w:val="28"/>
          <w:szCs w:val="28"/>
        </w:rPr>
        <w:t xml:space="preserve">Проекте бюджета на </w:t>
      </w:r>
      <w:r w:rsidR="00314465" w:rsidRPr="00D179E2">
        <w:rPr>
          <w:sz w:val="28"/>
          <w:szCs w:val="28"/>
        </w:rPr>
        <w:t>20</w:t>
      </w:r>
      <w:r w:rsidR="00241F87">
        <w:rPr>
          <w:sz w:val="28"/>
          <w:szCs w:val="28"/>
        </w:rPr>
        <w:t>2</w:t>
      </w:r>
      <w:r w:rsidR="003A4998">
        <w:rPr>
          <w:sz w:val="28"/>
          <w:szCs w:val="28"/>
        </w:rPr>
        <w:t>3</w:t>
      </w:r>
      <w:r w:rsidR="005C28C6" w:rsidRPr="00D179E2">
        <w:rPr>
          <w:sz w:val="28"/>
          <w:szCs w:val="28"/>
        </w:rPr>
        <w:t>-202</w:t>
      </w:r>
      <w:r w:rsidR="003A4998">
        <w:rPr>
          <w:sz w:val="28"/>
          <w:szCs w:val="28"/>
        </w:rPr>
        <w:t>5</w:t>
      </w:r>
      <w:r w:rsidRPr="00D179E2">
        <w:rPr>
          <w:sz w:val="28"/>
          <w:szCs w:val="28"/>
        </w:rPr>
        <w:t xml:space="preserve"> год</w:t>
      </w:r>
      <w:r w:rsidR="00F14967">
        <w:rPr>
          <w:sz w:val="28"/>
          <w:szCs w:val="28"/>
        </w:rPr>
        <w:t xml:space="preserve">ы </w:t>
      </w:r>
      <w:r w:rsidR="003A4998">
        <w:rPr>
          <w:sz w:val="28"/>
          <w:szCs w:val="28"/>
        </w:rPr>
        <w:t xml:space="preserve">увеличились </w:t>
      </w:r>
      <w:r w:rsidR="00B87F83">
        <w:rPr>
          <w:sz w:val="28"/>
          <w:szCs w:val="28"/>
        </w:rPr>
        <w:t>практически одинаково (</w:t>
      </w:r>
      <w:r w:rsidR="00DC534A">
        <w:rPr>
          <w:sz w:val="28"/>
          <w:szCs w:val="28"/>
        </w:rPr>
        <w:t xml:space="preserve">196,76%) </w:t>
      </w:r>
      <w:r w:rsidR="003A4998">
        <w:rPr>
          <w:sz w:val="28"/>
          <w:szCs w:val="28"/>
        </w:rPr>
        <w:t>по сравнению с 2022 годом</w:t>
      </w:r>
      <w:r w:rsidR="00DC534A">
        <w:rPr>
          <w:sz w:val="28"/>
          <w:szCs w:val="28"/>
        </w:rPr>
        <w:t>.</w:t>
      </w:r>
    </w:p>
    <w:p w:rsidR="001F01A5" w:rsidRDefault="001F01A5" w:rsidP="001F01A5">
      <w:pPr>
        <w:ind w:firstLine="709"/>
        <w:jc w:val="both"/>
        <w:rPr>
          <w:sz w:val="28"/>
          <w:szCs w:val="28"/>
        </w:rPr>
      </w:pPr>
      <w:r w:rsidRPr="008A180B">
        <w:rPr>
          <w:sz w:val="28"/>
          <w:szCs w:val="28"/>
        </w:rPr>
        <w:t xml:space="preserve">Безвозмездные поступления в </w:t>
      </w:r>
      <w:r>
        <w:rPr>
          <w:sz w:val="28"/>
          <w:szCs w:val="28"/>
        </w:rPr>
        <w:t>Проекте бюджета на 202</w:t>
      </w:r>
      <w:r w:rsidR="008851E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851E1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  <w:r w:rsidRPr="008A180B">
        <w:rPr>
          <w:sz w:val="28"/>
          <w:szCs w:val="28"/>
        </w:rPr>
        <w:t xml:space="preserve"> составляют основную часть</w:t>
      </w:r>
      <w:r>
        <w:rPr>
          <w:sz w:val="28"/>
          <w:szCs w:val="28"/>
        </w:rPr>
        <w:t xml:space="preserve"> и </w:t>
      </w:r>
      <w:r w:rsidR="008851E1">
        <w:rPr>
          <w:sz w:val="28"/>
          <w:szCs w:val="28"/>
        </w:rPr>
        <w:t>уменьшатся</w:t>
      </w:r>
      <w:r>
        <w:rPr>
          <w:sz w:val="28"/>
          <w:szCs w:val="28"/>
        </w:rPr>
        <w:t xml:space="preserve"> в 202</w:t>
      </w:r>
      <w:r w:rsidR="008851E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 сравнению с 202</w:t>
      </w:r>
      <w:r w:rsidR="008851E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</w:t>
      </w:r>
      <w:r w:rsidRPr="008A1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851E1">
        <w:rPr>
          <w:sz w:val="28"/>
          <w:szCs w:val="28"/>
        </w:rPr>
        <w:t>3,11</w:t>
      </w:r>
      <w:r w:rsidRPr="008A180B">
        <w:rPr>
          <w:sz w:val="28"/>
          <w:szCs w:val="28"/>
        </w:rPr>
        <w:t xml:space="preserve">% или </w:t>
      </w:r>
      <w:r>
        <w:rPr>
          <w:sz w:val="28"/>
          <w:szCs w:val="28"/>
        </w:rPr>
        <w:t xml:space="preserve">на </w:t>
      </w:r>
      <w:r w:rsidR="008851E1">
        <w:rPr>
          <w:sz w:val="28"/>
          <w:szCs w:val="28"/>
        </w:rPr>
        <w:t>494,14</w:t>
      </w:r>
      <w:r>
        <w:rPr>
          <w:sz w:val="28"/>
          <w:szCs w:val="28"/>
        </w:rPr>
        <w:t xml:space="preserve"> </w:t>
      </w:r>
      <w:r w:rsidRPr="008A180B">
        <w:rPr>
          <w:sz w:val="28"/>
          <w:szCs w:val="28"/>
        </w:rPr>
        <w:t>тыс. рублей</w:t>
      </w:r>
      <w:r w:rsidR="008851E1">
        <w:rPr>
          <w:sz w:val="28"/>
          <w:szCs w:val="28"/>
        </w:rPr>
        <w:t xml:space="preserve"> и составят 15 392,26</w:t>
      </w:r>
      <w:r>
        <w:rPr>
          <w:sz w:val="28"/>
          <w:szCs w:val="28"/>
        </w:rPr>
        <w:t xml:space="preserve"> тыс. рублей (7</w:t>
      </w:r>
      <w:r w:rsidR="008851E1">
        <w:rPr>
          <w:sz w:val="28"/>
          <w:szCs w:val="28"/>
        </w:rPr>
        <w:t>3,03</w:t>
      </w:r>
      <w:r>
        <w:rPr>
          <w:sz w:val="28"/>
          <w:szCs w:val="28"/>
        </w:rPr>
        <w:t>%</w:t>
      </w:r>
      <w:r w:rsidRPr="008A180B">
        <w:rPr>
          <w:sz w:val="28"/>
          <w:szCs w:val="28"/>
        </w:rPr>
        <w:t xml:space="preserve"> от всех доходов</w:t>
      </w:r>
      <w:r>
        <w:rPr>
          <w:sz w:val="28"/>
          <w:szCs w:val="28"/>
        </w:rPr>
        <w:t>);</w:t>
      </w:r>
      <w:r w:rsidRPr="008A180B">
        <w:rPr>
          <w:sz w:val="28"/>
          <w:szCs w:val="28"/>
        </w:rPr>
        <w:t xml:space="preserve"> в 202</w:t>
      </w:r>
      <w:r w:rsidR="008851E1">
        <w:rPr>
          <w:sz w:val="28"/>
          <w:szCs w:val="28"/>
        </w:rPr>
        <w:t>4</w:t>
      </w:r>
      <w:r>
        <w:rPr>
          <w:sz w:val="28"/>
          <w:szCs w:val="28"/>
        </w:rPr>
        <w:t xml:space="preserve"> г. и 202</w:t>
      </w:r>
      <w:r w:rsidR="008851E1">
        <w:rPr>
          <w:sz w:val="28"/>
          <w:szCs w:val="28"/>
        </w:rPr>
        <w:t>5</w:t>
      </w:r>
      <w:r>
        <w:rPr>
          <w:sz w:val="28"/>
          <w:szCs w:val="28"/>
        </w:rPr>
        <w:t xml:space="preserve"> г. уменьшатся по сравнению с 202</w:t>
      </w:r>
      <w:r w:rsidR="008851E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 на </w:t>
      </w:r>
      <w:r w:rsidR="00CD50D9">
        <w:rPr>
          <w:sz w:val="28"/>
          <w:szCs w:val="28"/>
        </w:rPr>
        <w:t>43,28</w:t>
      </w:r>
      <w:r>
        <w:rPr>
          <w:sz w:val="28"/>
          <w:szCs w:val="28"/>
        </w:rPr>
        <w:t>% (на 6</w:t>
      </w:r>
      <w:r w:rsidR="00CD50D9">
        <w:rPr>
          <w:sz w:val="28"/>
          <w:szCs w:val="28"/>
        </w:rPr>
        <w:t> 875,52</w:t>
      </w:r>
      <w:r>
        <w:rPr>
          <w:sz w:val="28"/>
          <w:szCs w:val="28"/>
        </w:rPr>
        <w:t xml:space="preserve"> тыс. рублей) и на </w:t>
      </w:r>
      <w:r w:rsidR="00CD50D9">
        <w:rPr>
          <w:sz w:val="28"/>
          <w:szCs w:val="28"/>
        </w:rPr>
        <w:t>42,81% (</w:t>
      </w:r>
      <w:proofErr w:type="gramStart"/>
      <w:r w:rsidR="00CD50D9">
        <w:rPr>
          <w:sz w:val="28"/>
          <w:szCs w:val="28"/>
        </w:rPr>
        <w:t>на</w:t>
      </w:r>
      <w:proofErr w:type="gramEnd"/>
      <w:r w:rsidR="00CD50D9">
        <w:rPr>
          <w:sz w:val="28"/>
          <w:szCs w:val="28"/>
        </w:rPr>
        <w:t xml:space="preserve"> 6 800,24</w:t>
      </w:r>
      <w:r>
        <w:rPr>
          <w:sz w:val="28"/>
          <w:szCs w:val="28"/>
        </w:rPr>
        <w:t xml:space="preserve"> тыс. рублей) соответственно.</w:t>
      </w:r>
    </w:p>
    <w:p w:rsidR="001F01A5" w:rsidRDefault="001F01A5" w:rsidP="001F0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Доходы</w:t>
      </w:r>
      <w:r w:rsidRPr="00BD7EAA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>безвозмездных поступлений</w:t>
      </w:r>
      <w:r w:rsidRPr="00BD7EAA">
        <w:rPr>
          <w:sz w:val="28"/>
          <w:szCs w:val="28"/>
        </w:rPr>
        <w:t xml:space="preserve"> представлены в таблице</w:t>
      </w:r>
      <w:r>
        <w:rPr>
          <w:sz w:val="28"/>
          <w:szCs w:val="28"/>
        </w:rPr>
        <w:t>:</w:t>
      </w:r>
    </w:p>
    <w:p w:rsidR="008A504E" w:rsidRPr="008A504E" w:rsidRDefault="008A504E" w:rsidP="008A504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5328"/>
        <w:gridCol w:w="1480"/>
        <w:gridCol w:w="996"/>
        <w:gridCol w:w="996"/>
      </w:tblGrid>
      <w:tr w:rsidR="008A504E" w:rsidRPr="008A504E" w:rsidTr="008A504E">
        <w:trPr>
          <w:trHeight w:val="300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4E" w:rsidRPr="008A504E" w:rsidRDefault="008A504E" w:rsidP="008A504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A504E">
              <w:rPr>
                <w:b/>
                <w:bCs/>
                <w:color w:val="000000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4E" w:rsidRPr="008A504E" w:rsidRDefault="008A504E" w:rsidP="001A57F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A504E">
              <w:rPr>
                <w:b/>
                <w:bCs/>
                <w:color w:val="000000"/>
                <w:sz w:val="24"/>
                <w:szCs w:val="24"/>
                <w:lang w:eastAsia="ja-JP"/>
              </w:rPr>
              <w:t>202</w:t>
            </w:r>
            <w:r w:rsidR="001A57F6">
              <w:rPr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  <w:r w:rsidRPr="008A504E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04E" w:rsidRPr="008A504E" w:rsidRDefault="008A504E" w:rsidP="001A57F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A504E">
              <w:rPr>
                <w:b/>
                <w:bCs/>
                <w:color w:val="000000"/>
                <w:sz w:val="24"/>
                <w:szCs w:val="24"/>
                <w:lang w:eastAsia="ja-JP"/>
              </w:rPr>
              <w:t>202</w:t>
            </w:r>
            <w:r w:rsidR="001A57F6">
              <w:rPr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  <w:r w:rsidRPr="008A504E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04E" w:rsidRPr="008A504E" w:rsidRDefault="008A504E" w:rsidP="001A57F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A504E">
              <w:rPr>
                <w:b/>
                <w:bCs/>
                <w:color w:val="000000"/>
                <w:sz w:val="24"/>
                <w:szCs w:val="24"/>
                <w:lang w:eastAsia="ja-JP"/>
              </w:rPr>
              <w:t>202</w:t>
            </w:r>
            <w:r w:rsidR="001A57F6">
              <w:rPr>
                <w:b/>
                <w:bCs/>
                <w:color w:val="000000"/>
                <w:sz w:val="24"/>
                <w:szCs w:val="24"/>
                <w:lang w:eastAsia="ja-JP"/>
              </w:rPr>
              <w:t>5</w:t>
            </w:r>
            <w:r w:rsidRPr="008A504E">
              <w:rPr>
                <w:b/>
                <w:bCs/>
                <w:color w:val="000000"/>
                <w:sz w:val="24"/>
                <w:szCs w:val="24"/>
                <w:lang w:eastAsia="ja-JP"/>
              </w:rPr>
              <w:t xml:space="preserve"> г.</w:t>
            </w:r>
          </w:p>
        </w:tc>
      </w:tr>
      <w:tr w:rsidR="00550C64" w:rsidRPr="008A504E" w:rsidTr="0082016F">
        <w:trPr>
          <w:trHeight w:val="83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64" w:rsidRPr="00E84BF1" w:rsidRDefault="00550C64" w:rsidP="0082016F">
            <w:r w:rsidRPr="00E84BF1">
              <w:t>Дотация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10219,50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8474,90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8532,30</w:t>
            </w:r>
          </w:p>
        </w:tc>
      </w:tr>
      <w:tr w:rsidR="00550C64" w:rsidRPr="008A504E" w:rsidTr="0082016F">
        <w:trPr>
          <w:trHeight w:val="7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64" w:rsidRPr="00E84BF1" w:rsidRDefault="00550C64" w:rsidP="0082016F">
            <w:r w:rsidRPr="00E84BF1">
              <w:t>Субвенции на выполнение передаваемых полномочий субъектов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194,52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200,36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206,37</w:t>
            </w:r>
          </w:p>
        </w:tc>
      </w:tr>
      <w:tr w:rsidR="00550C64" w:rsidRPr="008A504E" w:rsidTr="0082016F">
        <w:trPr>
          <w:trHeight w:val="7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64" w:rsidRPr="00E84BF1" w:rsidRDefault="00550C64" w:rsidP="0082016F">
            <w:r w:rsidRPr="00E84BF1"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321,10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335,62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347,49</w:t>
            </w:r>
          </w:p>
        </w:tc>
      </w:tr>
      <w:tr w:rsidR="00550C64" w:rsidRPr="008A504E" w:rsidTr="0082016F">
        <w:trPr>
          <w:trHeight w:val="134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64" w:rsidRPr="00035EFB" w:rsidRDefault="00550C64" w:rsidP="0082016F">
            <w:r w:rsidRPr="00035EFB">
              <w:t>Субвенции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C64" w:rsidRPr="002615E1" w:rsidRDefault="00550C64" w:rsidP="00550C64">
            <w:pPr>
              <w:jc w:val="center"/>
            </w:pPr>
            <w:r w:rsidRPr="002615E1">
              <w:t>855,99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C64" w:rsidRPr="002615E1" w:rsidRDefault="00550C64" w:rsidP="00550C64">
            <w:pPr>
              <w:jc w:val="center"/>
            </w:pPr>
            <w:r w:rsidRPr="002615E1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50C64" w:rsidRPr="002615E1" w:rsidRDefault="00550C64" w:rsidP="00550C64">
            <w:pPr>
              <w:jc w:val="center"/>
            </w:pPr>
            <w:r w:rsidRPr="002615E1">
              <w:t>0,00</w:t>
            </w:r>
          </w:p>
        </w:tc>
      </w:tr>
      <w:tr w:rsidR="00550C64" w:rsidRPr="008A504E" w:rsidTr="0082016F">
        <w:trPr>
          <w:trHeight w:val="134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C64" w:rsidRDefault="00550C64" w:rsidP="0082016F">
            <w:r w:rsidRPr="00E84BF1">
              <w:t xml:space="preserve">Межбюджетные трансферты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3801,15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C64" w:rsidRPr="002615E1" w:rsidRDefault="00550C64" w:rsidP="00550C64">
            <w:pPr>
              <w:jc w:val="center"/>
            </w:pPr>
            <w:r w:rsidRPr="002615E1"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0C64" w:rsidRDefault="00550C64" w:rsidP="00550C64">
            <w:pPr>
              <w:jc w:val="center"/>
            </w:pPr>
            <w:r w:rsidRPr="002615E1">
              <w:t>49,00</w:t>
            </w:r>
          </w:p>
        </w:tc>
      </w:tr>
      <w:tr w:rsidR="00550C64" w:rsidRPr="008A504E" w:rsidTr="0082016F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64" w:rsidRPr="008A504E" w:rsidRDefault="00550C64" w:rsidP="008A504E">
            <w:pPr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A504E">
              <w:rPr>
                <w:b/>
                <w:bCs/>
                <w:color w:val="000000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50C64" w:rsidRPr="00550C64" w:rsidRDefault="00550C64" w:rsidP="00550C64">
            <w:pPr>
              <w:jc w:val="center"/>
              <w:rPr>
                <w:b/>
              </w:rPr>
            </w:pPr>
            <w:r w:rsidRPr="00550C64">
              <w:rPr>
                <w:b/>
              </w:rPr>
              <w:t>15392,26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50C64" w:rsidRPr="00550C64" w:rsidRDefault="00550C64" w:rsidP="00550C64">
            <w:pPr>
              <w:jc w:val="center"/>
              <w:rPr>
                <w:b/>
              </w:rPr>
            </w:pPr>
            <w:r w:rsidRPr="00550C64">
              <w:rPr>
                <w:b/>
              </w:rPr>
              <w:t>9010,88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50C64" w:rsidRPr="00550C64" w:rsidRDefault="00550C64" w:rsidP="00550C64">
            <w:pPr>
              <w:jc w:val="center"/>
              <w:rPr>
                <w:b/>
              </w:rPr>
            </w:pPr>
            <w:r w:rsidRPr="00550C64">
              <w:rPr>
                <w:b/>
              </w:rPr>
              <w:t>9135,16</w:t>
            </w:r>
          </w:p>
        </w:tc>
      </w:tr>
    </w:tbl>
    <w:p w:rsidR="001F01A5" w:rsidRDefault="001F01A5" w:rsidP="008A504E">
      <w:pPr>
        <w:ind w:firstLine="709"/>
        <w:jc w:val="both"/>
        <w:rPr>
          <w:sz w:val="22"/>
          <w:szCs w:val="22"/>
        </w:rPr>
      </w:pPr>
    </w:p>
    <w:p w:rsidR="0020445A" w:rsidRPr="007951F4" w:rsidRDefault="0020445A" w:rsidP="00EF1DB7">
      <w:pPr>
        <w:pStyle w:val="af3"/>
        <w:keepNext/>
        <w:numPr>
          <w:ilvl w:val="0"/>
          <w:numId w:val="34"/>
        </w:numPr>
        <w:jc w:val="center"/>
        <w:outlineLvl w:val="1"/>
        <w:rPr>
          <w:b/>
          <w:bCs/>
          <w:sz w:val="28"/>
          <w:szCs w:val="28"/>
        </w:rPr>
      </w:pPr>
      <w:r w:rsidRPr="007951F4">
        <w:rPr>
          <w:b/>
          <w:bCs/>
          <w:sz w:val="28"/>
          <w:szCs w:val="28"/>
        </w:rPr>
        <w:t>Р</w:t>
      </w:r>
      <w:r w:rsidR="009704BF" w:rsidRPr="007951F4">
        <w:rPr>
          <w:b/>
          <w:bCs/>
          <w:sz w:val="28"/>
          <w:szCs w:val="28"/>
        </w:rPr>
        <w:t>асходы</w:t>
      </w:r>
      <w:r w:rsidR="001B5CAD" w:rsidRPr="007951F4">
        <w:rPr>
          <w:b/>
          <w:bCs/>
          <w:sz w:val="28"/>
          <w:szCs w:val="28"/>
        </w:rPr>
        <w:t xml:space="preserve"> бюджета </w:t>
      </w:r>
      <w:r w:rsidR="00BF1776" w:rsidRPr="007951F4">
        <w:rPr>
          <w:b/>
          <w:bCs/>
          <w:sz w:val="28"/>
          <w:szCs w:val="28"/>
        </w:rPr>
        <w:t>Буранного</w:t>
      </w:r>
      <w:r w:rsidR="001B5CAD" w:rsidRPr="007951F4">
        <w:rPr>
          <w:b/>
          <w:bCs/>
          <w:sz w:val="28"/>
          <w:szCs w:val="28"/>
        </w:rPr>
        <w:t xml:space="preserve"> сельского поселения.</w:t>
      </w:r>
    </w:p>
    <w:p w:rsidR="00051BEE" w:rsidRPr="00051BEE" w:rsidRDefault="00051BEE" w:rsidP="00051BEE">
      <w:pPr>
        <w:ind w:firstLine="709"/>
        <w:jc w:val="both"/>
        <w:rPr>
          <w:sz w:val="28"/>
          <w:szCs w:val="28"/>
        </w:rPr>
      </w:pPr>
      <w:r w:rsidRPr="00051BEE">
        <w:rPr>
          <w:sz w:val="28"/>
          <w:szCs w:val="28"/>
        </w:rPr>
        <w:t xml:space="preserve">Формирование расходов Проекта бюджета осуществлялось в соответствии с реестром расходных обязательств </w:t>
      </w:r>
      <w:proofErr w:type="gramStart"/>
      <w:r w:rsidRPr="00051BEE">
        <w:rPr>
          <w:sz w:val="28"/>
          <w:szCs w:val="28"/>
        </w:rPr>
        <w:t>согласно стать</w:t>
      </w:r>
      <w:r w:rsidR="00024A7C">
        <w:rPr>
          <w:sz w:val="28"/>
          <w:szCs w:val="28"/>
        </w:rPr>
        <w:t>и</w:t>
      </w:r>
      <w:proofErr w:type="gramEnd"/>
      <w:r w:rsidRPr="00051BEE">
        <w:rPr>
          <w:sz w:val="28"/>
          <w:szCs w:val="28"/>
        </w:rPr>
        <w:t xml:space="preserve"> 87 Бюджетного кодекса Российской Федерации. </w:t>
      </w:r>
    </w:p>
    <w:p w:rsidR="00F4285F" w:rsidRPr="00D179E2" w:rsidRDefault="00F4285F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79E2">
        <w:rPr>
          <w:rFonts w:eastAsiaTheme="minorHAnsi"/>
          <w:color w:val="000000"/>
          <w:sz w:val="28"/>
          <w:szCs w:val="28"/>
          <w:lang w:eastAsia="en-US"/>
        </w:rPr>
        <w:t>Расходы, отраженные в Проекте решения,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</w:t>
      </w:r>
      <w:r w:rsidR="00051BEE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D179E2">
        <w:rPr>
          <w:rFonts w:eastAsiaTheme="minorHAnsi"/>
          <w:color w:val="000000"/>
          <w:sz w:val="28"/>
          <w:szCs w:val="28"/>
          <w:lang w:eastAsia="en-US"/>
        </w:rPr>
        <w:t xml:space="preserve"> РФ.</w:t>
      </w:r>
    </w:p>
    <w:p w:rsidR="001D5DAA" w:rsidRPr="00D179E2" w:rsidRDefault="001D5DAA" w:rsidP="001D5DA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0A727E">
        <w:rPr>
          <w:color w:val="000000"/>
          <w:sz w:val="28"/>
          <w:szCs w:val="28"/>
        </w:rPr>
        <w:t xml:space="preserve">Статьей 174.2 Бюджетного кодекса РФ определено, что планирование бюджетных ассигнований осуществляется в порядке и в соответствии с методикой, устанавливаемой </w:t>
      </w:r>
      <w:r w:rsidRPr="000A727E">
        <w:rPr>
          <w:sz w:val="28"/>
          <w:szCs w:val="28"/>
        </w:rPr>
        <w:t xml:space="preserve">местной администрацией муниципального образования с соблюдением положений БК РФ. Администрацией  </w:t>
      </w:r>
      <w:r w:rsidR="00BF1776" w:rsidRPr="000A727E">
        <w:rPr>
          <w:sz w:val="28"/>
          <w:szCs w:val="28"/>
        </w:rPr>
        <w:t>Буранного</w:t>
      </w:r>
      <w:r w:rsidRPr="000A727E">
        <w:rPr>
          <w:sz w:val="28"/>
          <w:szCs w:val="28"/>
        </w:rPr>
        <w:t xml:space="preserve"> сельского поселения</w:t>
      </w:r>
      <w:r w:rsidRPr="000A727E">
        <w:rPr>
          <w:color w:val="000000"/>
          <w:sz w:val="28"/>
          <w:szCs w:val="28"/>
        </w:rPr>
        <w:t xml:space="preserve"> такая методика  разработана</w:t>
      </w:r>
      <w:r w:rsidRPr="000A727E">
        <w:rPr>
          <w:b/>
          <w:color w:val="000000"/>
          <w:sz w:val="28"/>
          <w:szCs w:val="28"/>
        </w:rPr>
        <w:t>.</w:t>
      </w:r>
      <w:r w:rsidRPr="00D179E2">
        <w:rPr>
          <w:b/>
          <w:color w:val="000000"/>
          <w:sz w:val="28"/>
          <w:szCs w:val="28"/>
        </w:rPr>
        <w:t xml:space="preserve"> </w:t>
      </w:r>
    </w:p>
    <w:p w:rsidR="00F4285F" w:rsidRPr="00D179E2" w:rsidRDefault="00F4285F" w:rsidP="00F428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179E2">
        <w:rPr>
          <w:rFonts w:eastAsiaTheme="minorHAnsi"/>
          <w:sz w:val="28"/>
          <w:szCs w:val="28"/>
          <w:lang w:eastAsia="en-US"/>
        </w:rPr>
        <w:t>В соответствии с частью 2 статьи 179 Бюджетного Кодекса РФ, Проектом</w:t>
      </w:r>
      <w:r w:rsidRPr="00D179E2">
        <w:rPr>
          <w:rFonts w:eastAsiaTheme="minorHAnsi"/>
          <w:color w:val="000000"/>
          <w:sz w:val="28"/>
          <w:szCs w:val="28"/>
          <w:lang w:eastAsia="en-US"/>
        </w:rPr>
        <w:t xml:space="preserve"> решения</w:t>
      </w:r>
      <w:r w:rsidRPr="00D179E2">
        <w:rPr>
          <w:rFonts w:eastAsiaTheme="minorHAnsi"/>
          <w:sz w:val="28"/>
          <w:szCs w:val="28"/>
          <w:lang w:eastAsia="en-US"/>
        </w:rPr>
        <w:t xml:space="preserve"> предусмотрено утверждение объема бюджетных ассигнований на финансовое обеспечение 1 муниципальн</w:t>
      </w:r>
      <w:r w:rsidR="00397C71" w:rsidRPr="00D179E2">
        <w:rPr>
          <w:rFonts w:eastAsiaTheme="minorHAnsi"/>
          <w:sz w:val="28"/>
          <w:szCs w:val="28"/>
          <w:lang w:eastAsia="en-US"/>
        </w:rPr>
        <w:t>ой</w:t>
      </w:r>
      <w:r w:rsidRPr="00D179E2">
        <w:rPr>
          <w:rFonts w:eastAsiaTheme="minorHAnsi"/>
          <w:sz w:val="28"/>
          <w:szCs w:val="28"/>
          <w:lang w:eastAsia="en-US"/>
        </w:rPr>
        <w:t xml:space="preserve"> программ</w:t>
      </w:r>
      <w:r w:rsidR="00397C71" w:rsidRPr="00D179E2">
        <w:rPr>
          <w:rFonts w:eastAsiaTheme="minorHAnsi"/>
          <w:sz w:val="28"/>
          <w:szCs w:val="28"/>
          <w:lang w:eastAsia="en-US"/>
        </w:rPr>
        <w:t>ы</w:t>
      </w:r>
      <w:r w:rsidR="00645BEC" w:rsidRPr="00D179E2">
        <w:rPr>
          <w:rFonts w:eastAsiaTheme="minorHAnsi"/>
          <w:sz w:val="28"/>
          <w:szCs w:val="28"/>
          <w:lang w:eastAsia="en-US"/>
        </w:rPr>
        <w:t xml:space="preserve">: «Развитие местного самоуправления и решение вопросов местного значения в </w:t>
      </w:r>
      <w:r w:rsidR="00BF1776" w:rsidRPr="00D179E2">
        <w:rPr>
          <w:rFonts w:eastAsiaTheme="minorHAnsi"/>
          <w:sz w:val="28"/>
          <w:szCs w:val="28"/>
          <w:lang w:eastAsia="en-US"/>
        </w:rPr>
        <w:t>Буранном</w:t>
      </w:r>
      <w:r w:rsidR="00645BEC" w:rsidRPr="00D179E2">
        <w:rPr>
          <w:rFonts w:eastAsiaTheme="minorHAnsi"/>
          <w:sz w:val="28"/>
          <w:szCs w:val="28"/>
          <w:lang w:eastAsia="en-US"/>
        </w:rPr>
        <w:t xml:space="preserve"> сельском поселении на 20</w:t>
      </w:r>
      <w:r w:rsidR="00E25D4D">
        <w:rPr>
          <w:rFonts w:eastAsiaTheme="minorHAnsi"/>
          <w:sz w:val="28"/>
          <w:szCs w:val="28"/>
          <w:lang w:eastAsia="en-US"/>
        </w:rPr>
        <w:t>2</w:t>
      </w:r>
      <w:r w:rsidR="0082016F">
        <w:rPr>
          <w:rFonts w:eastAsiaTheme="minorHAnsi"/>
          <w:sz w:val="28"/>
          <w:szCs w:val="28"/>
          <w:lang w:eastAsia="en-US"/>
        </w:rPr>
        <w:t>3</w:t>
      </w:r>
      <w:r w:rsidR="00645BEC" w:rsidRPr="00D179E2">
        <w:rPr>
          <w:rFonts w:eastAsiaTheme="minorHAnsi"/>
          <w:sz w:val="28"/>
          <w:szCs w:val="28"/>
          <w:lang w:eastAsia="en-US"/>
        </w:rPr>
        <w:t xml:space="preserve"> год и </w:t>
      </w:r>
      <w:r w:rsidR="00051BEE">
        <w:rPr>
          <w:rFonts w:eastAsiaTheme="minorHAnsi"/>
          <w:sz w:val="28"/>
          <w:szCs w:val="28"/>
          <w:lang w:eastAsia="en-US"/>
        </w:rPr>
        <w:t xml:space="preserve">на </w:t>
      </w:r>
      <w:r w:rsidR="00645BEC" w:rsidRPr="00D179E2">
        <w:rPr>
          <w:rFonts w:eastAsiaTheme="minorHAnsi"/>
          <w:sz w:val="28"/>
          <w:szCs w:val="28"/>
          <w:lang w:eastAsia="en-US"/>
        </w:rPr>
        <w:t>плановый период 202</w:t>
      </w:r>
      <w:r w:rsidR="0082016F">
        <w:rPr>
          <w:rFonts w:eastAsiaTheme="minorHAnsi"/>
          <w:sz w:val="28"/>
          <w:szCs w:val="28"/>
          <w:lang w:eastAsia="en-US"/>
        </w:rPr>
        <w:t>4</w:t>
      </w:r>
      <w:r w:rsidR="00645BEC" w:rsidRPr="00D179E2">
        <w:rPr>
          <w:rFonts w:eastAsiaTheme="minorHAnsi"/>
          <w:sz w:val="28"/>
          <w:szCs w:val="28"/>
          <w:lang w:eastAsia="en-US"/>
        </w:rPr>
        <w:t>-202</w:t>
      </w:r>
      <w:r w:rsidR="0082016F">
        <w:rPr>
          <w:rFonts w:eastAsiaTheme="minorHAnsi"/>
          <w:sz w:val="28"/>
          <w:szCs w:val="28"/>
          <w:lang w:eastAsia="en-US"/>
        </w:rPr>
        <w:t>5</w:t>
      </w:r>
      <w:r w:rsidR="00645BEC" w:rsidRPr="00D179E2">
        <w:rPr>
          <w:rFonts w:eastAsiaTheme="minorHAnsi"/>
          <w:sz w:val="28"/>
          <w:szCs w:val="28"/>
          <w:lang w:eastAsia="en-US"/>
        </w:rPr>
        <w:t xml:space="preserve"> годов»</w:t>
      </w:r>
      <w:r w:rsidR="00397C71" w:rsidRPr="00D179E2">
        <w:rPr>
          <w:rFonts w:eastAsiaTheme="minorHAnsi"/>
          <w:sz w:val="28"/>
          <w:szCs w:val="28"/>
          <w:lang w:eastAsia="en-US"/>
        </w:rPr>
        <w:t>.</w:t>
      </w:r>
      <w:r w:rsidRPr="00D179E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D6B31" w:rsidRPr="00D179E2" w:rsidRDefault="001D6B31" w:rsidP="001D6B31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При формировании бюджета, определены приоритеты бюджетных расходов, </w:t>
      </w:r>
      <w:proofErr w:type="gramStart"/>
      <w:r w:rsidRPr="00D179E2">
        <w:rPr>
          <w:sz w:val="28"/>
          <w:szCs w:val="28"/>
        </w:rPr>
        <w:t>согласно Постановления</w:t>
      </w:r>
      <w:proofErr w:type="gramEnd"/>
      <w:r w:rsidRPr="00D179E2">
        <w:rPr>
          <w:sz w:val="28"/>
          <w:szCs w:val="28"/>
        </w:rPr>
        <w:t xml:space="preserve"> администрации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от </w:t>
      </w:r>
      <w:r w:rsidR="005A2FF7">
        <w:rPr>
          <w:sz w:val="28"/>
          <w:szCs w:val="28"/>
        </w:rPr>
        <w:t>0</w:t>
      </w:r>
      <w:r w:rsidR="00051BEE">
        <w:rPr>
          <w:sz w:val="28"/>
          <w:szCs w:val="28"/>
        </w:rPr>
        <w:t>8</w:t>
      </w:r>
      <w:r w:rsidRPr="00D179E2">
        <w:rPr>
          <w:sz w:val="28"/>
          <w:szCs w:val="28"/>
        </w:rPr>
        <w:t>.</w:t>
      </w:r>
      <w:r w:rsidR="00E25D4D">
        <w:rPr>
          <w:sz w:val="28"/>
          <w:szCs w:val="28"/>
        </w:rPr>
        <w:t>1</w:t>
      </w:r>
      <w:r w:rsidR="00051BEE">
        <w:rPr>
          <w:sz w:val="28"/>
          <w:szCs w:val="28"/>
        </w:rPr>
        <w:t>1</w:t>
      </w:r>
      <w:r w:rsidRPr="00D179E2">
        <w:rPr>
          <w:sz w:val="28"/>
          <w:szCs w:val="28"/>
        </w:rPr>
        <w:t>.20</w:t>
      </w:r>
      <w:r w:rsidR="005A2FF7">
        <w:rPr>
          <w:sz w:val="28"/>
          <w:szCs w:val="28"/>
        </w:rPr>
        <w:t>2</w:t>
      </w:r>
      <w:r w:rsidR="0082016F">
        <w:rPr>
          <w:sz w:val="28"/>
          <w:szCs w:val="28"/>
        </w:rPr>
        <w:t>2</w:t>
      </w:r>
      <w:r w:rsidRPr="00D179E2">
        <w:rPr>
          <w:sz w:val="28"/>
          <w:szCs w:val="28"/>
        </w:rPr>
        <w:t xml:space="preserve"> г. № </w:t>
      </w:r>
      <w:r w:rsidR="0082016F">
        <w:rPr>
          <w:sz w:val="28"/>
          <w:szCs w:val="28"/>
        </w:rPr>
        <w:t>293</w:t>
      </w:r>
      <w:r w:rsidRPr="00D179E2">
        <w:rPr>
          <w:sz w:val="28"/>
          <w:szCs w:val="28"/>
        </w:rPr>
        <w:t xml:space="preserve"> «Об </w:t>
      </w:r>
      <w:r w:rsidR="00051BEE">
        <w:rPr>
          <w:sz w:val="28"/>
          <w:szCs w:val="28"/>
        </w:rPr>
        <w:t>утверждении основных направлений</w:t>
      </w:r>
      <w:r w:rsidRPr="00D179E2">
        <w:rPr>
          <w:sz w:val="28"/>
          <w:szCs w:val="28"/>
        </w:rPr>
        <w:t xml:space="preserve"> </w:t>
      </w:r>
      <w:r w:rsidR="00E25D4D">
        <w:rPr>
          <w:sz w:val="28"/>
          <w:szCs w:val="28"/>
        </w:rPr>
        <w:t>бюджетной</w:t>
      </w:r>
      <w:r w:rsidRPr="00D179E2">
        <w:rPr>
          <w:sz w:val="28"/>
          <w:szCs w:val="28"/>
        </w:rPr>
        <w:t xml:space="preserve"> и</w:t>
      </w:r>
      <w:r w:rsidR="005A2FF7">
        <w:rPr>
          <w:sz w:val="28"/>
          <w:szCs w:val="28"/>
        </w:rPr>
        <w:t xml:space="preserve"> налоговой</w:t>
      </w:r>
      <w:r w:rsidRPr="00D179E2">
        <w:rPr>
          <w:sz w:val="28"/>
          <w:szCs w:val="28"/>
        </w:rPr>
        <w:t xml:space="preserve"> политики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</w:t>
      </w:r>
      <w:r w:rsidR="005A2FF7">
        <w:rPr>
          <w:sz w:val="28"/>
          <w:szCs w:val="28"/>
        </w:rPr>
        <w:t xml:space="preserve">на </w:t>
      </w:r>
      <w:r w:rsidR="0082016F">
        <w:rPr>
          <w:sz w:val="28"/>
          <w:szCs w:val="28"/>
        </w:rPr>
        <w:t xml:space="preserve">2023 год и плановый </w:t>
      </w:r>
      <w:r w:rsidR="005A2FF7">
        <w:rPr>
          <w:sz w:val="28"/>
          <w:szCs w:val="28"/>
        </w:rPr>
        <w:t>период 202</w:t>
      </w:r>
      <w:r w:rsidR="00051BEE">
        <w:rPr>
          <w:sz w:val="28"/>
          <w:szCs w:val="28"/>
        </w:rPr>
        <w:t>4</w:t>
      </w:r>
      <w:r w:rsidR="005A2FF7">
        <w:rPr>
          <w:sz w:val="28"/>
          <w:szCs w:val="28"/>
        </w:rPr>
        <w:t xml:space="preserve"> </w:t>
      </w:r>
      <w:r w:rsidR="0082016F">
        <w:rPr>
          <w:sz w:val="28"/>
          <w:szCs w:val="28"/>
        </w:rPr>
        <w:t xml:space="preserve">и 2025 </w:t>
      </w:r>
      <w:r w:rsidRPr="00D179E2">
        <w:rPr>
          <w:sz w:val="28"/>
          <w:szCs w:val="28"/>
        </w:rPr>
        <w:t>г</w:t>
      </w:r>
      <w:r w:rsidR="0082016F">
        <w:rPr>
          <w:sz w:val="28"/>
          <w:szCs w:val="28"/>
        </w:rPr>
        <w:t>.</w:t>
      </w:r>
      <w:r w:rsidRPr="00D179E2">
        <w:rPr>
          <w:sz w:val="28"/>
          <w:szCs w:val="28"/>
        </w:rPr>
        <w:t xml:space="preserve">», которые направлены на обеспечение устойчивости и эффективности бюджетной системы поселения. </w:t>
      </w:r>
    </w:p>
    <w:p w:rsidR="00134E77" w:rsidRPr="00D179E2" w:rsidRDefault="001B5CAD" w:rsidP="00F4285F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>Расходы</w:t>
      </w:r>
      <w:r w:rsidR="00F4285F" w:rsidRPr="00D179E2">
        <w:rPr>
          <w:sz w:val="28"/>
          <w:szCs w:val="28"/>
        </w:rPr>
        <w:t xml:space="preserve"> бюджета на  </w:t>
      </w:r>
      <w:r w:rsidR="009D5CCE" w:rsidRPr="00D179E2">
        <w:rPr>
          <w:sz w:val="28"/>
          <w:szCs w:val="28"/>
        </w:rPr>
        <w:t>20</w:t>
      </w:r>
      <w:r w:rsidR="00E25D4D">
        <w:rPr>
          <w:sz w:val="28"/>
          <w:szCs w:val="28"/>
        </w:rPr>
        <w:t>2</w:t>
      </w:r>
      <w:r w:rsidR="0082016F">
        <w:rPr>
          <w:sz w:val="28"/>
          <w:szCs w:val="28"/>
        </w:rPr>
        <w:t>3</w:t>
      </w:r>
      <w:r w:rsidR="00F4285F" w:rsidRPr="00D179E2">
        <w:rPr>
          <w:sz w:val="28"/>
          <w:szCs w:val="28"/>
        </w:rPr>
        <w:t xml:space="preserve">  год   запланированы  в  сумме  </w:t>
      </w:r>
      <w:r w:rsidR="00387530">
        <w:rPr>
          <w:sz w:val="28"/>
          <w:szCs w:val="28"/>
        </w:rPr>
        <w:t>21</w:t>
      </w:r>
      <w:r w:rsidR="0082016F">
        <w:rPr>
          <w:sz w:val="28"/>
          <w:szCs w:val="28"/>
        </w:rPr>
        <w:t> 076,16</w:t>
      </w:r>
      <w:r w:rsidR="0032377D">
        <w:rPr>
          <w:sz w:val="28"/>
          <w:szCs w:val="28"/>
        </w:rPr>
        <w:t xml:space="preserve"> </w:t>
      </w:r>
      <w:r w:rsidR="00F4285F" w:rsidRPr="00D179E2">
        <w:rPr>
          <w:sz w:val="28"/>
          <w:szCs w:val="28"/>
        </w:rPr>
        <w:t xml:space="preserve">тыс. рублей, что на </w:t>
      </w:r>
      <w:r w:rsidR="00024A7C">
        <w:rPr>
          <w:sz w:val="28"/>
          <w:szCs w:val="28"/>
        </w:rPr>
        <w:t>62,14</w:t>
      </w:r>
      <w:r w:rsidR="00F4285F" w:rsidRPr="00D179E2">
        <w:rPr>
          <w:sz w:val="28"/>
          <w:szCs w:val="28"/>
        </w:rPr>
        <w:t xml:space="preserve"> тыс. рублей или на </w:t>
      </w:r>
      <w:r w:rsidR="00024A7C">
        <w:rPr>
          <w:sz w:val="28"/>
          <w:szCs w:val="28"/>
        </w:rPr>
        <w:t>0,29</w:t>
      </w:r>
      <w:r w:rsidR="00F4285F" w:rsidRPr="00D179E2">
        <w:rPr>
          <w:sz w:val="28"/>
          <w:szCs w:val="28"/>
        </w:rPr>
        <w:t xml:space="preserve"> % </w:t>
      </w:r>
      <w:r w:rsidR="00024A7C">
        <w:rPr>
          <w:sz w:val="28"/>
          <w:szCs w:val="28"/>
        </w:rPr>
        <w:t xml:space="preserve">ниже </w:t>
      </w:r>
      <w:proofErr w:type="gramStart"/>
      <w:r w:rsidR="00F4285F" w:rsidRPr="00D179E2">
        <w:rPr>
          <w:sz w:val="28"/>
          <w:szCs w:val="28"/>
        </w:rPr>
        <w:t>уровня</w:t>
      </w:r>
      <w:proofErr w:type="gramEnd"/>
      <w:r w:rsidR="00F4285F" w:rsidRPr="00D179E2">
        <w:rPr>
          <w:sz w:val="28"/>
          <w:szCs w:val="28"/>
        </w:rPr>
        <w:t xml:space="preserve"> </w:t>
      </w:r>
      <w:r w:rsidR="0037748A" w:rsidRPr="00D179E2">
        <w:rPr>
          <w:sz w:val="28"/>
          <w:szCs w:val="28"/>
        </w:rPr>
        <w:t xml:space="preserve">первоначально запланированного на </w:t>
      </w:r>
      <w:r w:rsidR="00F4285F" w:rsidRPr="00D179E2">
        <w:rPr>
          <w:sz w:val="28"/>
          <w:szCs w:val="28"/>
        </w:rPr>
        <w:t>20</w:t>
      </w:r>
      <w:r w:rsidR="0032377D">
        <w:rPr>
          <w:sz w:val="28"/>
          <w:szCs w:val="28"/>
        </w:rPr>
        <w:t>2</w:t>
      </w:r>
      <w:r w:rsidR="00024A7C">
        <w:rPr>
          <w:sz w:val="28"/>
          <w:szCs w:val="28"/>
        </w:rPr>
        <w:t>2</w:t>
      </w:r>
      <w:r w:rsidR="00F4285F" w:rsidRPr="00D179E2">
        <w:rPr>
          <w:sz w:val="28"/>
          <w:szCs w:val="28"/>
        </w:rPr>
        <w:t xml:space="preserve"> год.</w:t>
      </w:r>
    </w:p>
    <w:p w:rsidR="00AD46B5" w:rsidRDefault="00AD46B5" w:rsidP="00AD46B5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>Основная статья  расходов бюджета 20</w:t>
      </w:r>
      <w:r w:rsidR="00E25D4D">
        <w:rPr>
          <w:sz w:val="28"/>
          <w:szCs w:val="28"/>
        </w:rPr>
        <w:t>2</w:t>
      </w:r>
      <w:r w:rsidR="00024A7C">
        <w:rPr>
          <w:sz w:val="28"/>
          <w:szCs w:val="28"/>
        </w:rPr>
        <w:t>3</w:t>
      </w:r>
      <w:r w:rsidRPr="00D179E2">
        <w:rPr>
          <w:sz w:val="28"/>
          <w:szCs w:val="28"/>
        </w:rPr>
        <w:t xml:space="preserve"> года - фонд заработной платы работников </w:t>
      </w:r>
      <w:r w:rsidR="00387530">
        <w:rPr>
          <w:sz w:val="28"/>
          <w:szCs w:val="28"/>
        </w:rPr>
        <w:t xml:space="preserve">администрации и </w:t>
      </w:r>
      <w:r w:rsidRPr="00D179E2">
        <w:rPr>
          <w:sz w:val="28"/>
          <w:szCs w:val="28"/>
        </w:rPr>
        <w:t>муниципальных учреждений</w:t>
      </w:r>
      <w:r w:rsidR="00387530">
        <w:rPr>
          <w:sz w:val="28"/>
          <w:szCs w:val="28"/>
        </w:rPr>
        <w:t xml:space="preserve"> Буранного сельского поселения </w:t>
      </w:r>
      <w:r w:rsidR="00024A7C">
        <w:rPr>
          <w:sz w:val="28"/>
          <w:szCs w:val="28"/>
        </w:rPr>
        <w:t>13 490,91</w:t>
      </w:r>
      <w:r w:rsidRPr="00D179E2">
        <w:rPr>
          <w:sz w:val="28"/>
          <w:szCs w:val="28"/>
        </w:rPr>
        <w:t xml:space="preserve"> тыс. рублей, что составляет </w:t>
      </w:r>
      <w:r w:rsidR="00024A7C">
        <w:rPr>
          <w:sz w:val="28"/>
          <w:szCs w:val="28"/>
        </w:rPr>
        <w:t>64,01</w:t>
      </w:r>
      <w:r w:rsidRPr="00D179E2">
        <w:rPr>
          <w:sz w:val="28"/>
          <w:szCs w:val="28"/>
        </w:rPr>
        <w:t xml:space="preserve">% всех расходов бюджета. </w:t>
      </w:r>
    </w:p>
    <w:p w:rsidR="00412F78" w:rsidRPr="00D179E2" w:rsidRDefault="00412F78" w:rsidP="00412F78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lastRenderedPageBreak/>
        <w:t>Структура расходов бюджета</w:t>
      </w:r>
      <w:r w:rsidR="00D34A84">
        <w:rPr>
          <w:sz w:val="28"/>
          <w:szCs w:val="28"/>
        </w:rPr>
        <w:t xml:space="preserve"> по</w:t>
      </w:r>
      <w:r w:rsidRPr="00D179E2">
        <w:rPr>
          <w:sz w:val="28"/>
          <w:szCs w:val="28"/>
        </w:rPr>
        <w:t xml:space="preserve"> разделам  классификации расходов бюджетов на 20</w:t>
      </w:r>
      <w:r w:rsidR="001C5F7E">
        <w:rPr>
          <w:sz w:val="28"/>
          <w:szCs w:val="28"/>
        </w:rPr>
        <w:t>2</w:t>
      </w:r>
      <w:r w:rsidR="00773C26">
        <w:rPr>
          <w:sz w:val="28"/>
          <w:szCs w:val="28"/>
        </w:rPr>
        <w:t>3</w:t>
      </w:r>
      <w:r w:rsidRPr="00D179E2">
        <w:rPr>
          <w:sz w:val="28"/>
          <w:szCs w:val="28"/>
        </w:rPr>
        <w:t xml:space="preserve"> год и на плановый период 202</w:t>
      </w:r>
      <w:r w:rsidR="00773C26">
        <w:rPr>
          <w:sz w:val="28"/>
          <w:szCs w:val="28"/>
        </w:rPr>
        <w:t>4</w:t>
      </w:r>
      <w:r w:rsidRPr="00D179E2">
        <w:rPr>
          <w:sz w:val="28"/>
          <w:szCs w:val="28"/>
        </w:rPr>
        <w:t>-202</w:t>
      </w:r>
      <w:r w:rsidR="00773C26">
        <w:rPr>
          <w:sz w:val="28"/>
          <w:szCs w:val="28"/>
        </w:rPr>
        <w:t>5</w:t>
      </w:r>
      <w:r w:rsidRPr="00D179E2">
        <w:rPr>
          <w:sz w:val="28"/>
          <w:szCs w:val="28"/>
        </w:rPr>
        <w:t xml:space="preserve"> годов по сравнению с 20</w:t>
      </w:r>
      <w:r w:rsidR="0032377D">
        <w:rPr>
          <w:sz w:val="28"/>
          <w:szCs w:val="28"/>
        </w:rPr>
        <w:t>2</w:t>
      </w:r>
      <w:r w:rsidR="00773C26">
        <w:rPr>
          <w:sz w:val="28"/>
          <w:szCs w:val="28"/>
        </w:rPr>
        <w:t>2</w:t>
      </w:r>
      <w:r w:rsidR="00D34A84">
        <w:rPr>
          <w:sz w:val="28"/>
          <w:szCs w:val="28"/>
        </w:rPr>
        <w:t xml:space="preserve"> годом приведена в таблице:</w:t>
      </w:r>
    </w:p>
    <w:p w:rsidR="00A62CC2" w:rsidRDefault="00A62CC2" w:rsidP="00A62CC2">
      <w:pPr>
        <w:ind w:firstLine="720"/>
        <w:jc w:val="right"/>
        <w:rPr>
          <w:sz w:val="28"/>
          <w:szCs w:val="28"/>
        </w:rPr>
      </w:pPr>
      <w:r w:rsidRPr="00D179E2">
        <w:rPr>
          <w:sz w:val="28"/>
          <w:szCs w:val="28"/>
        </w:rPr>
        <w:t>тыс. рублей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1134"/>
        <w:gridCol w:w="1134"/>
        <w:gridCol w:w="1134"/>
        <w:gridCol w:w="1134"/>
        <w:gridCol w:w="1276"/>
      </w:tblGrid>
      <w:tr w:rsidR="0082016F" w:rsidRPr="006E4A16" w:rsidTr="0082016F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A16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A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6F" w:rsidRPr="006E4A16" w:rsidRDefault="0082016F" w:rsidP="008201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A16">
              <w:rPr>
                <w:b/>
                <w:bCs/>
                <w:color w:val="000000"/>
                <w:sz w:val="22"/>
                <w:szCs w:val="22"/>
              </w:rPr>
              <w:t>Сумма, тыс. руб. 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6E4A16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16F" w:rsidRPr="006E4A16" w:rsidRDefault="0082016F" w:rsidP="006E4A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Сумма, тыс. руб. 2023</w:t>
            </w:r>
            <w:r w:rsidRPr="006E4A16">
              <w:rPr>
                <w:b/>
                <w:bCs/>
                <w:color w:val="000000"/>
                <w:sz w:val="22"/>
                <w:szCs w:val="22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Default="0082016F" w:rsidP="0082016F">
            <w:pPr>
              <w:rPr>
                <w:b/>
                <w:sz w:val="22"/>
                <w:szCs w:val="22"/>
              </w:rPr>
            </w:pPr>
          </w:p>
          <w:p w:rsidR="0082016F" w:rsidRPr="0082016F" w:rsidRDefault="0082016F" w:rsidP="0082016F">
            <w:pPr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 xml:space="preserve">Сумма, тыс. руб. 2024 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Default="0082016F" w:rsidP="0082016F">
            <w:pPr>
              <w:rPr>
                <w:b/>
                <w:sz w:val="22"/>
                <w:szCs w:val="22"/>
              </w:rPr>
            </w:pPr>
          </w:p>
          <w:p w:rsidR="0082016F" w:rsidRPr="0082016F" w:rsidRDefault="0082016F" w:rsidP="0082016F">
            <w:pPr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 xml:space="preserve">Сумма, тыс. руб. 2025 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82016F" w:rsidRDefault="0082016F" w:rsidP="006524DC">
            <w:pPr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>202</w:t>
            </w:r>
            <w:r w:rsidR="006524DC">
              <w:rPr>
                <w:b/>
                <w:sz w:val="22"/>
                <w:szCs w:val="22"/>
              </w:rPr>
              <w:t>3 г % к 2022</w:t>
            </w:r>
            <w:r w:rsidRPr="0082016F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82016F" w:rsidRDefault="006524DC" w:rsidP="006524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2016F" w:rsidRPr="0082016F">
              <w:rPr>
                <w:b/>
                <w:sz w:val="22"/>
                <w:szCs w:val="22"/>
              </w:rPr>
              <w:t>г % к 202</w:t>
            </w:r>
            <w:r>
              <w:rPr>
                <w:b/>
                <w:sz w:val="22"/>
                <w:szCs w:val="22"/>
              </w:rPr>
              <w:t>2</w:t>
            </w:r>
            <w:r w:rsidR="0082016F" w:rsidRPr="0082016F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82016F" w:rsidRDefault="0082016F" w:rsidP="006524DC">
            <w:pPr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>202</w:t>
            </w:r>
            <w:r w:rsidR="006524DC">
              <w:rPr>
                <w:b/>
                <w:sz w:val="22"/>
                <w:szCs w:val="22"/>
              </w:rPr>
              <w:t>5</w:t>
            </w:r>
            <w:r w:rsidRPr="0082016F">
              <w:rPr>
                <w:b/>
                <w:sz w:val="22"/>
                <w:szCs w:val="22"/>
              </w:rPr>
              <w:t xml:space="preserve"> г % к 202</w:t>
            </w:r>
            <w:r w:rsidR="006524DC">
              <w:rPr>
                <w:b/>
                <w:sz w:val="22"/>
                <w:szCs w:val="22"/>
              </w:rPr>
              <w:t>2</w:t>
            </w:r>
            <w:r w:rsidRPr="0082016F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82016F" w:rsidRPr="006E4A16" w:rsidTr="0082016F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6E4A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 w:rsidRPr="006E4A1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5 163,61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5 450,87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5 463,22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5 476,18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105,56%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105,80%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106,05%</w:t>
            </w:r>
          </w:p>
        </w:tc>
      </w:tr>
      <w:tr w:rsidR="0082016F" w:rsidRPr="006E4A16" w:rsidTr="0082016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6E4A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 w:rsidRPr="006E4A1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272,19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335,62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347,49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117,97%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123,30%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127,66%</w:t>
            </w:r>
          </w:p>
        </w:tc>
      </w:tr>
      <w:tr w:rsidR="0082016F" w:rsidRPr="006E4A16" w:rsidTr="0082016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6E4A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 w:rsidRPr="006E4A1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2 675,15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3 801,15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142,09%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0,00%</w:t>
            </w:r>
          </w:p>
        </w:tc>
      </w:tr>
      <w:tr w:rsidR="0082016F" w:rsidRPr="006E4A16" w:rsidTr="0082016F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6E4A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 w:rsidRPr="006E4A1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2 952,57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1 217,49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1 264,39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1 314,33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41,23%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42,82%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44,51%</w:t>
            </w:r>
          </w:p>
        </w:tc>
      </w:tr>
      <w:tr w:rsidR="0082016F" w:rsidRPr="006E4A16" w:rsidTr="0082016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6E4A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 w:rsidRPr="006E4A1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9 885,90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10 091,03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7 188,19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7 166,29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102,07%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72,71%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72,49%</w:t>
            </w:r>
          </w:p>
        </w:tc>
      </w:tr>
      <w:tr w:rsidR="0082016F" w:rsidRPr="006E4A16" w:rsidTr="0082016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 w:rsidRPr="006E4A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 w:rsidRPr="006E4A16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200,36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206,37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102,99%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D62F5A" w:rsidRDefault="0082016F" w:rsidP="0082016F">
            <w:pPr>
              <w:jc w:val="center"/>
            </w:pPr>
            <w:r w:rsidRPr="00D62F5A">
              <w:t>106,08%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Default="0082016F" w:rsidP="0082016F">
            <w:pPr>
              <w:jc w:val="center"/>
            </w:pPr>
            <w:r w:rsidRPr="00D62F5A">
              <w:t>109,26%</w:t>
            </w:r>
          </w:p>
        </w:tc>
      </w:tr>
      <w:tr w:rsidR="0082016F" w:rsidRPr="006E4A16" w:rsidTr="0082016F">
        <w:trPr>
          <w:trHeight w:val="1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color w:val="000000"/>
                <w:sz w:val="22"/>
                <w:szCs w:val="22"/>
              </w:rPr>
            </w:pPr>
            <w:r w:rsidRPr="006E4A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6F" w:rsidRPr="006E4A16" w:rsidRDefault="0082016F" w:rsidP="006E4A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A1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82016F" w:rsidRDefault="0082016F" w:rsidP="0082016F">
            <w:pPr>
              <w:jc w:val="center"/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>21 138,30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82016F" w:rsidRDefault="0082016F" w:rsidP="0082016F">
            <w:pPr>
              <w:jc w:val="center"/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>21 076,16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82016F" w:rsidRDefault="0082016F" w:rsidP="0082016F">
            <w:pPr>
              <w:jc w:val="center"/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>14 451,78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82016F" w:rsidRDefault="0082016F" w:rsidP="0082016F">
            <w:pPr>
              <w:jc w:val="center"/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>14 510,66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16F" w:rsidRPr="0082016F" w:rsidRDefault="0082016F" w:rsidP="0082016F">
            <w:pPr>
              <w:jc w:val="center"/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>99,71%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82016F" w:rsidRDefault="0082016F" w:rsidP="0082016F">
            <w:pPr>
              <w:jc w:val="center"/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>68,37%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16F" w:rsidRPr="0082016F" w:rsidRDefault="0082016F" w:rsidP="0082016F">
            <w:pPr>
              <w:jc w:val="center"/>
              <w:rPr>
                <w:b/>
                <w:sz w:val="22"/>
                <w:szCs w:val="22"/>
              </w:rPr>
            </w:pPr>
            <w:r w:rsidRPr="0082016F">
              <w:rPr>
                <w:b/>
                <w:sz w:val="22"/>
                <w:szCs w:val="22"/>
              </w:rPr>
              <w:t>68,65%</w:t>
            </w:r>
          </w:p>
        </w:tc>
      </w:tr>
    </w:tbl>
    <w:p w:rsidR="0032377D" w:rsidRPr="006E4A16" w:rsidRDefault="0032377D" w:rsidP="00A62CC2">
      <w:pPr>
        <w:ind w:firstLine="720"/>
        <w:jc w:val="right"/>
        <w:rPr>
          <w:sz w:val="22"/>
          <w:szCs w:val="22"/>
        </w:rPr>
      </w:pPr>
    </w:p>
    <w:p w:rsidR="00773C26" w:rsidRDefault="00EE228B" w:rsidP="00EE228B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Из структуры расходов  видно, что основную долю расходов на 20</w:t>
      </w:r>
      <w:r>
        <w:rPr>
          <w:sz w:val="28"/>
          <w:szCs w:val="28"/>
        </w:rPr>
        <w:t>2</w:t>
      </w:r>
      <w:r w:rsidR="00773C26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год  составляют расходы </w:t>
      </w:r>
      <w:r>
        <w:rPr>
          <w:sz w:val="28"/>
          <w:szCs w:val="28"/>
        </w:rPr>
        <w:t>по разделу 08 «Культура</w:t>
      </w:r>
      <w:r w:rsidR="003624D7">
        <w:rPr>
          <w:sz w:val="28"/>
          <w:szCs w:val="28"/>
        </w:rPr>
        <w:t>,</w:t>
      </w:r>
      <w:r>
        <w:rPr>
          <w:sz w:val="28"/>
          <w:szCs w:val="28"/>
        </w:rPr>
        <w:t xml:space="preserve"> кинематография» (4</w:t>
      </w:r>
      <w:r w:rsidR="00773C26">
        <w:rPr>
          <w:sz w:val="28"/>
          <w:szCs w:val="28"/>
        </w:rPr>
        <w:t>7,88</w:t>
      </w:r>
      <w:r>
        <w:rPr>
          <w:sz w:val="28"/>
          <w:szCs w:val="28"/>
        </w:rPr>
        <w:t>%), по разделу 01 «Общегосударственные вопросы» (2</w:t>
      </w:r>
      <w:r w:rsidR="00773C26">
        <w:rPr>
          <w:sz w:val="28"/>
          <w:szCs w:val="28"/>
        </w:rPr>
        <w:t>5,86</w:t>
      </w:r>
      <w:r>
        <w:rPr>
          <w:sz w:val="28"/>
          <w:szCs w:val="28"/>
        </w:rPr>
        <w:t>%),</w:t>
      </w:r>
      <w:r w:rsidRPr="00EE228B">
        <w:rPr>
          <w:sz w:val="28"/>
          <w:szCs w:val="28"/>
        </w:rPr>
        <w:t xml:space="preserve"> </w:t>
      </w:r>
      <w:r w:rsidR="00773C26" w:rsidRPr="00773C26">
        <w:rPr>
          <w:sz w:val="28"/>
          <w:szCs w:val="28"/>
        </w:rPr>
        <w:t>по разделу «Национальная экономика» (1</w:t>
      </w:r>
      <w:r w:rsidR="00773C26">
        <w:rPr>
          <w:sz w:val="28"/>
          <w:szCs w:val="28"/>
        </w:rPr>
        <w:t>8,04</w:t>
      </w:r>
      <w:r w:rsidR="00773C26" w:rsidRPr="00773C26">
        <w:rPr>
          <w:sz w:val="28"/>
          <w:szCs w:val="28"/>
        </w:rPr>
        <w:t>%)</w:t>
      </w:r>
      <w:r w:rsidR="00773C26">
        <w:rPr>
          <w:sz w:val="28"/>
          <w:szCs w:val="28"/>
        </w:rPr>
        <w:t xml:space="preserve">, </w:t>
      </w:r>
      <w:r>
        <w:rPr>
          <w:sz w:val="28"/>
          <w:szCs w:val="28"/>
        </w:rPr>
        <w:t>по разделу 05 «Ж</w:t>
      </w:r>
      <w:r w:rsidRPr="008A180B">
        <w:rPr>
          <w:sz w:val="28"/>
          <w:szCs w:val="28"/>
        </w:rPr>
        <w:t>илищно-коммунальное хозяйство</w:t>
      </w:r>
      <w:r>
        <w:rPr>
          <w:sz w:val="28"/>
          <w:szCs w:val="28"/>
        </w:rPr>
        <w:t>» (</w:t>
      </w:r>
      <w:r w:rsidR="00773C26">
        <w:rPr>
          <w:sz w:val="28"/>
          <w:szCs w:val="28"/>
        </w:rPr>
        <w:t>5,78</w:t>
      </w:r>
      <w:r>
        <w:rPr>
          <w:sz w:val="28"/>
          <w:szCs w:val="28"/>
        </w:rPr>
        <w:t>%)</w:t>
      </w:r>
      <w:r w:rsidR="00773C26">
        <w:rPr>
          <w:sz w:val="28"/>
          <w:szCs w:val="28"/>
        </w:rPr>
        <w:t>.</w:t>
      </w:r>
    </w:p>
    <w:p w:rsidR="00EE228B" w:rsidRDefault="00773C26" w:rsidP="00EE22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Наименьшую долю расходов в бюджете составляют расходы </w:t>
      </w:r>
      <w:r w:rsidR="00EE228B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>02 «</w:t>
      </w:r>
      <w:r w:rsidRPr="00773C26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» (1,52%), 10 </w:t>
      </w:r>
      <w:r w:rsidR="00EE228B">
        <w:rPr>
          <w:sz w:val="28"/>
          <w:szCs w:val="28"/>
        </w:rPr>
        <w:t>«</w:t>
      </w:r>
      <w:r>
        <w:rPr>
          <w:sz w:val="28"/>
          <w:szCs w:val="28"/>
        </w:rPr>
        <w:t>Социальная политик</w:t>
      </w:r>
      <w:r w:rsidR="00EE228B">
        <w:rPr>
          <w:sz w:val="28"/>
          <w:szCs w:val="28"/>
        </w:rPr>
        <w:t xml:space="preserve">а» </w:t>
      </w:r>
      <w:r w:rsidR="00EE228B" w:rsidRPr="008A180B">
        <w:rPr>
          <w:sz w:val="28"/>
          <w:szCs w:val="28"/>
        </w:rPr>
        <w:t>(</w:t>
      </w:r>
      <w:r>
        <w:rPr>
          <w:sz w:val="28"/>
          <w:szCs w:val="28"/>
        </w:rPr>
        <w:t>0,92</w:t>
      </w:r>
      <w:r w:rsidR="00EE228B">
        <w:rPr>
          <w:sz w:val="28"/>
          <w:szCs w:val="28"/>
        </w:rPr>
        <w:t>%)</w:t>
      </w:r>
      <w:r w:rsidR="00EE228B" w:rsidRPr="008A180B">
        <w:rPr>
          <w:sz w:val="28"/>
          <w:szCs w:val="28"/>
        </w:rPr>
        <w:t>.</w:t>
      </w:r>
    </w:p>
    <w:p w:rsidR="00EE228B" w:rsidRDefault="00EE228B" w:rsidP="00EE228B">
      <w:pPr>
        <w:jc w:val="both"/>
        <w:rPr>
          <w:sz w:val="28"/>
          <w:szCs w:val="28"/>
        </w:rPr>
      </w:pPr>
      <w:r w:rsidRPr="008A180B">
        <w:rPr>
          <w:color w:val="4F81BD" w:themeColor="accent1"/>
        </w:rPr>
        <w:tab/>
      </w:r>
      <w:r w:rsidRPr="008A180B">
        <w:rPr>
          <w:sz w:val="28"/>
          <w:szCs w:val="28"/>
        </w:rPr>
        <w:t xml:space="preserve">В ходе сравнительного анализа расходов </w:t>
      </w:r>
      <w:r>
        <w:rPr>
          <w:sz w:val="28"/>
          <w:szCs w:val="28"/>
        </w:rPr>
        <w:t xml:space="preserve">Проекта </w:t>
      </w:r>
      <w:r w:rsidRPr="008A180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на </w:t>
      </w:r>
      <w:r w:rsidRPr="008A180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97813">
        <w:rPr>
          <w:sz w:val="28"/>
          <w:szCs w:val="28"/>
        </w:rPr>
        <w:t>3</w:t>
      </w:r>
      <w:r w:rsidRPr="008A180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</w:t>
      </w:r>
      <w:r w:rsidRPr="008A1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расходами Проекта бюджета на </w:t>
      </w:r>
      <w:r w:rsidRPr="008A180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97813">
        <w:rPr>
          <w:sz w:val="28"/>
          <w:szCs w:val="28"/>
        </w:rPr>
        <w:t>2</w:t>
      </w:r>
      <w:r w:rsidRPr="008A180B">
        <w:rPr>
          <w:sz w:val="28"/>
          <w:szCs w:val="28"/>
        </w:rPr>
        <w:t xml:space="preserve"> год по разделам классификации расходов бюджетов выявлено, что увеличение составили расходы по разделам:</w:t>
      </w:r>
    </w:p>
    <w:p w:rsidR="00497813" w:rsidRDefault="00497813" w:rsidP="00EE2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 </w:t>
      </w:r>
      <w:r w:rsidRPr="00497813">
        <w:rPr>
          <w:sz w:val="28"/>
          <w:szCs w:val="28"/>
        </w:rPr>
        <w:t>«Общегосударственные вопросы» -</w:t>
      </w:r>
      <w:r>
        <w:rPr>
          <w:sz w:val="28"/>
          <w:szCs w:val="28"/>
        </w:rPr>
        <w:t xml:space="preserve"> 105,56%;</w:t>
      </w:r>
    </w:p>
    <w:p w:rsidR="00EE228B" w:rsidRDefault="00EE228B" w:rsidP="00EE228B">
      <w:pPr>
        <w:numPr>
          <w:ilvl w:val="0"/>
          <w:numId w:val="3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8A180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Национальная оборона» </w:t>
      </w:r>
      <w:r w:rsidRPr="008A180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="00497813">
        <w:rPr>
          <w:color w:val="000000"/>
          <w:sz w:val="28"/>
          <w:szCs w:val="28"/>
        </w:rPr>
        <w:t>17,97</w:t>
      </w:r>
      <w:r>
        <w:rPr>
          <w:color w:val="000000"/>
          <w:sz w:val="28"/>
          <w:szCs w:val="28"/>
        </w:rPr>
        <w:t>%;</w:t>
      </w:r>
    </w:p>
    <w:p w:rsidR="00497813" w:rsidRDefault="00497813" w:rsidP="00497813">
      <w:pPr>
        <w:numPr>
          <w:ilvl w:val="0"/>
          <w:numId w:val="3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497813">
        <w:rPr>
          <w:color w:val="000000"/>
          <w:sz w:val="28"/>
          <w:szCs w:val="28"/>
        </w:rPr>
        <w:t xml:space="preserve">«Национальная экономика» - </w:t>
      </w:r>
      <w:r>
        <w:rPr>
          <w:color w:val="000000"/>
          <w:sz w:val="28"/>
          <w:szCs w:val="28"/>
        </w:rPr>
        <w:t>142,09</w:t>
      </w:r>
      <w:r w:rsidRPr="00497813">
        <w:rPr>
          <w:color w:val="000000"/>
          <w:sz w:val="28"/>
          <w:szCs w:val="28"/>
        </w:rPr>
        <w:t>%;</w:t>
      </w:r>
    </w:p>
    <w:p w:rsidR="00497813" w:rsidRDefault="00497813" w:rsidP="00497813">
      <w:pPr>
        <w:numPr>
          <w:ilvl w:val="0"/>
          <w:numId w:val="3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497813">
        <w:rPr>
          <w:color w:val="000000"/>
          <w:sz w:val="28"/>
          <w:szCs w:val="28"/>
        </w:rPr>
        <w:t>«Культура, кинематография</w:t>
      </w:r>
      <w:bookmarkStart w:id="0" w:name="_GoBack"/>
      <w:bookmarkEnd w:id="0"/>
      <w:r w:rsidRPr="004978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- 102,07%;</w:t>
      </w:r>
    </w:p>
    <w:p w:rsidR="00497813" w:rsidRDefault="00497813" w:rsidP="00497813">
      <w:pPr>
        <w:numPr>
          <w:ilvl w:val="0"/>
          <w:numId w:val="3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497813">
        <w:rPr>
          <w:color w:val="000000"/>
          <w:sz w:val="28"/>
          <w:szCs w:val="28"/>
        </w:rPr>
        <w:t xml:space="preserve">«Социальная политика» - </w:t>
      </w:r>
      <w:r>
        <w:rPr>
          <w:color w:val="000000"/>
          <w:sz w:val="28"/>
          <w:szCs w:val="28"/>
        </w:rPr>
        <w:t>102,99</w:t>
      </w:r>
      <w:r w:rsidRPr="0049781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EE228B" w:rsidRDefault="00497813" w:rsidP="0049781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Уменьшение произошло по </w:t>
      </w:r>
      <w:r w:rsidR="00EE228B" w:rsidRPr="008A180B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у </w:t>
      </w:r>
      <w:r w:rsidRPr="00497813">
        <w:rPr>
          <w:color w:val="000000"/>
          <w:sz w:val="28"/>
          <w:szCs w:val="28"/>
        </w:rPr>
        <w:tab/>
        <w:t xml:space="preserve">«Жилищно-коммунальное хозяйство» - </w:t>
      </w:r>
      <w:r>
        <w:rPr>
          <w:color w:val="000000"/>
          <w:sz w:val="28"/>
          <w:szCs w:val="28"/>
        </w:rPr>
        <w:t>58,77</w:t>
      </w:r>
      <w:r w:rsidRPr="00497813">
        <w:rPr>
          <w:color w:val="000000"/>
          <w:sz w:val="28"/>
          <w:szCs w:val="28"/>
        </w:rPr>
        <w:t>%;</w:t>
      </w:r>
    </w:p>
    <w:p w:rsidR="00EE228B" w:rsidRDefault="00EE228B" w:rsidP="00EE228B">
      <w:pPr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="003028C3">
        <w:rPr>
          <w:color w:val="000000"/>
          <w:sz w:val="28"/>
          <w:szCs w:val="28"/>
        </w:rPr>
        <w:t>11 «</w:t>
      </w:r>
      <w:r w:rsidR="003624D7">
        <w:rPr>
          <w:color w:val="000000"/>
          <w:sz w:val="28"/>
          <w:szCs w:val="28"/>
        </w:rPr>
        <w:t>Физическая культура и спорт</w:t>
      </w:r>
      <w:r>
        <w:rPr>
          <w:color w:val="000000"/>
          <w:sz w:val="28"/>
          <w:szCs w:val="28"/>
        </w:rPr>
        <w:t>» расходы в Проекте бюджета на 202</w:t>
      </w:r>
      <w:r w:rsidR="004978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4978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гг. не предусмотрены.</w:t>
      </w:r>
    </w:p>
    <w:p w:rsidR="00B8326D" w:rsidRPr="00473739" w:rsidRDefault="00B8326D" w:rsidP="00B832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79E2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="000D3058">
        <w:rPr>
          <w:rFonts w:eastAsiaTheme="minorHAnsi"/>
          <w:color w:val="000000"/>
          <w:sz w:val="28"/>
          <w:szCs w:val="28"/>
          <w:lang w:eastAsia="en-US"/>
        </w:rPr>
        <w:t>эксперт</w:t>
      </w:r>
      <w:r w:rsidRPr="00D179E2">
        <w:rPr>
          <w:rFonts w:eastAsiaTheme="minorHAnsi"/>
          <w:color w:val="000000"/>
          <w:sz w:val="28"/>
          <w:szCs w:val="28"/>
          <w:lang w:eastAsia="en-US"/>
        </w:rPr>
        <w:t xml:space="preserve">изы </w:t>
      </w:r>
      <w:r w:rsidR="000D3058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D179E2">
        <w:rPr>
          <w:rFonts w:eastAsiaTheme="minorHAnsi"/>
          <w:color w:val="000000"/>
          <w:sz w:val="28"/>
          <w:szCs w:val="28"/>
          <w:lang w:eastAsia="en-US"/>
        </w:rPr>
        <w:t xml:space="preserve">роекта бюджета </w:t>
      </w:r>
      <w:r w:rsidR="00F6279B">
        <w:rPr>
          <w:rFonts w:eastAsiaTheme="minorHAnsi"/>
          <w:color w:val="000000"/>
          <w:sz w:val="28"/>
          <w:szCs w:val="28"/>
          <w:lang w:eastAsia="en-US"/>
        </w:rPr>
        <w:t>на 202</w:t>
      </w:r>
      <w:r w:rsidR="00497813">
        <w:rPr>
          <w:rFonts w:eastAsiaTheme="minorHAnsi"/>
          <w:color w:val="000000"/>
          <w:sz w:val="28"/>
          <w:szCs w:val="28"/>
          <w:lang w:eastAsia="en-US"/>
        </w:rPr>
        <w:t>3</w:t>
      </w:r>
      <w:r w:rsidR="000D3058">
        <w:rPr>
          <w:rFonts w:eastAsiaTheme="minorHAnsi"/>
          <w:color w:val="000000"/>
          <w:sz w:val="28"/>
          <w:szCs w:val="28"/>
          <w:lang w:eastAsia="en-US"/>
        </w:rPr>
        <w:t>-202</w:t>
      </w:r>
      <w:r w:rsidR="00497813">
        <w:rPr>
          <w:rFonts w:eastAsiaTheme="minorHAnsi"/>
          <w:color w:val="000000"/>
          <w:sz w:val="28"/>
          <w:szCs w:val="28"/>
          <w:lang w:eastAsia="en-US"/>
        </w:rPr>
        <w:t>5</w:t>
      </w:r>
      <w:r w:rsidR="00F6279B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0D3058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D179E2">
        <w:rPr>
          <w:rFonts w:eastAsiaTheme="minorHAnsi"/>
          <w:sz w:val="28"/>
          <w:szCs w:val="28"/>
          <w:lang w:eastAsia="en-US"/>
        </w:rPr>
        <w:t xml:space="preserve"> представлен</w:t>
      </w:r>
      <w:r w:rsidRPr="00D179E2">
        <w:rPr>
          <w:rFonts w:eastAsiaTheme="minorHAnsi"/>
          <w:color w:val="000000"/>
          <w:sz w:val="28"/>
          <w:szCs w:val="28"/>
          <w:lang w:eastAsia="en-US"/>
        </w:rPr>
        <w:t xml:space="preserve"> паспорт </w:t>
      </w:r>
      <w:r w:rsidR="00497813">
        <w:rPr>
          <w:rFonts w:eastAsiaTheme="minorHAnsi"/>
          <w:color w:val="000000"/>
          <w:sz w:val="28"/>
          <w:szCs w:val="28"/>
          <w:lang w:eastAsia="en-US"/>
        </w:rPr>
        <w:t>одной</w:t>
      </w:r>
      <w:r w:rsidRPr="00D179E2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муниципальной  программы. Муниципальная программа </w:t>
      </w:r>
      <w:r w:rsidR="000D3058">
        <w:rPr>
          <w:rFonts w:eastAsiaTheme="minorHAnsi"/>
          <w:color w:val="000000"/>
          <w:sz w:val="28"/>
          <w:szCs w:val="28"/>
          <w:lang w:eastAsia="en-US"/>
        </w:rPr>
        <w:t>«Развитие местного самоуправления и решение вопросов местного значения в Буранном сельском поселении</w:t>
      </w:r>
      <w:r w:rsidR="00497813">
        <w:rPr>
          <w:rFonts w:eastAsiaTheme="minorHAnsi"/>
          <w:color w:val="000000"/>
          <w:sz w:val="28"/>
          <w:szCs w:val="28"/>
          <w:lang w:eastAsia="en-US"/>
        </w:rPr>
        <w:t xml:space="preserve"> на 2023 год и плановый период 2024 и 2025 </w:t>
      </w:r>
      <w:r w:rsidR="00497813">
        <w:rPr>
          <w:rFonts w:eastAsiaTheme="minorHAnsi"/>
          <w:color w:val="000000"/>
          <w:sz w:val="28"/>
          <w:szCs w:val="28"/>
          <w:lang w:eastAsia="en-US"/>
        </w:rPr>
        <w:lastRenderedPageBreak/>
        <w:t>годов</w:t>
      </w:r>
      <w:r w:rsidR="000D3058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D179E2">
        <w:rPr>
          <w:rFonts w:eastAsiaTheme="minorHAnsi"/>
          <w:sz w:val="28"/>
          <w:szCs w:val="28"/>
          <w:lang w:eastAsia="en-US"/>
        </w:rPr>
        <w:t xml:space="preserve"> утверждена постановлением администрации </w:t>
      </w:r>
      <w:r w:rsidR="00BF1776" w:rsidRPr="00D179E2">
        <w:rPr>
          <w:rFonts w:eastAsiaTheme="minorHAnsi"/>
          <w:sz w:val="28"/>
          <w:szCs w:val="28"/>
          <w:lang w:eastAsia="en-US"/>
        </w:rPr>
        <w:t>Буранного</w:t>
      </w:r>
      <w:r w:rsidRPr="00D179E2">
        <w:rPr>
          <w:rFonts w:eastAsiaTheme="minorHAnsi"/>
          <w:sz w:val="28"/>
          <w:szCs w:val="28"/>
          <w:lang w:eastAsia="en-US"/>
        </w:rPr>
        <w:t xml:space="preserve"> сельского поселения от  </w:t>
      </w:r>
      <w:r w:rsidR="005C7984">
        <w:rPr>
          <w:rFonts w:eastAsiaTheme="minorHAnsi"/>
          <w:sz w:val="28"/>
          <w:szCs w:val="28"/>
          <w:lang w:eastAsia="en-US"/>
        </w:rPr>
        <w:t>0</w:t>
      </w:r>
      <w:r w:rsidR="00474DF0">
        <w:rPr>
          <w:rFonts w:eastAsiaTheme="minorHAnsi"/>
          <w:sz w:val="28"/>
          <w:szCs w:val="28"/>
          <w:lang w:eastAsia="en-US"/>
        </w:rPr>
        <w:t>8</w:t>
      </w:r>
      <w:r w:rsidR="001F6D56" w:rsidRPr="00D179E2">
        <w:rPr>
          <w:rFonts w:eastAsiaTheme="minorHAnsi"/>
          <w:sz w:val="28"/>
          <w:szCs w:val="28"/>
          <w:lang w:eastAsia="en-US"/>
        </w:rPr>
        <w:t>.1</w:t>
      </w:r>
      <w:r w:rsidR="00474DF0">
        <w:rPr>
          <w:rFonts w:eastAsiaTheme="minorHAnsi"/>
          <w:sz w:val="28"/>
          <w:szCs w:val="28"/>
          <w:lang w:eastAsia="en-US"/>
        </w:rPr>
        <w:t>1</w:t>
      </w:r>
      <w:r w:rsidR="001F6D56" w:rsidRPr="00D179E2">
        <w:rPr>
          <w:rFonts w:eastAsiaTheme="minorHAnsi"/>
          <w:sz w:val="28"/>
          <w:szCs w:val="28"/>
          <w:lang w:eastAsia="en-US"/>
        </w:rPr>
        <w:t>.20</w:t>
      </w:r>
      <w:r w:rsidR="005C7984">
        <w:rPr>
          <w:rFonts w:eastAsiaTheme="minorHAnsi"/>
          <w:sz w:val="28"/>
          <w:szCs w:val="28"/>
          <w:lang w:eastAsia="en-US"/>
        </w:rPr>
        <w:t>2</w:t>
      </w:r>
      <w:r w:rsidR="00497813">
        <w:rPr>
          <w:rFonts w:eastAsiaTheme="minorHAnsi"/>
          <w:sz w:val="28"/>
          <w:szCs w:val="28"/>
          <w:lang w:eastAsia="en-US"/>
        </w:rPr>
        <w:t>2</w:t>
      </w:r>
      <w:r w:rsidR="001F6D56" w:rsidRPr="00D179E2">
        <w:rPr>
          <w:rFonts w:eastAsiaTheme="minorHAnsi"/>
          <w:sz w:val="28"/>
          <w:szCs w:val="28"/>
          <w:lang w:eastAsia="en-US"/>
        </w:rPr>
        <w:t xml:space="preserve"> года</w:t>
      </w:r>
      <w:r w:rsidR="00497813">
        <w:rPr>
          <w:rFonts w:eastAsiaTheme="minorHAnsi"/>
          <w:sz w:val="28"/>
          <w:szCs w:val="28"/>
          <w:lang w:eastAsia="en-US"/>
        </w:rPr>
        <w:t xml:space="preserve"> № 291</w:t>
      </w:r>
      <w:r w:rsidR="001F6D56" w:rsidRPr="00D179E2">
        <w:rPr>
          <w:rFonts w:eastAsiaTheme="minorHAnsi"/>
          <w:sz w:val="28"/>
          <w:szCs w:val="28"/>
          <w:lang w:eastAsia="en-US"/>
        </w:rPr>
        <w:t>.</w:t>
      </w:r>
      <w:r w:rsidR="00B13A80" w:rsidRPr="00D179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74DF0" w:rsidRPr="00473739">
        <w:rPr>
          <w:rFonts w:eastAsiaTheme="minorHAnsi"/>
          <w:sz w:val="28"/>
          <w:szCs w:val="28"/>
          <w:lang w:eastAsia="en-US"/>
        </w:rPr>
        <w:t>В паспорте муниципальной программы объемы финансирования</w:t>
      </w:r>
      <w:r w:rsidR="00B13A80" w:rsidRPr="00473739">
        <w:rPr>
          <w:rFonts w:eastAsiaTheme="minorHAnsi"/>
          <w:sz w:val="28"/>
          <w:szCs w:val="28"/>
          <w:lang w:eastAsia="en-US"/>
        </w:rPr>
        <w:t xml:space="preserve"> по программе соответствует Проекту  бюджет</w:t>
      </w:r>
      <w:r w:rsidR="00474DF0" w:rsidRPr="00473739">
        <w:rPr>
          <w:rFonts w:eastAsiaTheme="minorHAnsi"/>
          <w:sz w:val="28"/>
          <w:szCs w:val="28"/>
          <w:lang w:eastAsia="en-US"/>
        </w:rPr>
        <w:t>а</w:t>
      </w:r>
      <w:r w:rsidR="00B13A80" w:rsidRPr="00473739">
        <w:rPr>
          <w:rFonts w:eastAsiaTheme="minorHAnsi"/>
          <w:sz w:val="28"/>
          <w:szCs w:val="28"/>
          <w:lang w:eastAsia="en-US"/>
        </w:rPr>
        <w:t>.</w:t>
      </w:r>
    </w:p>
    <w:p w:rsidR="00474DF0" w:rsidRPr="001B5886" w:rsidRDefault="000E1445" w:rsidP="00B8326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886">
        <w:rPr>
          <w:rFonts w:eastAsiaTheme="minorHAnsi"/>
          <w:sz w:val="28"/>
          <w:szCs w:val="28"/>
          <w:lang w:eastAsia="en-US"/>
        </w:rPr>
        <w:t>В соответствии с пунктом 3 статьи 179 БК РФ проведена</w:t>
      </w:r>
      <w:r w:rsidR="00B8326D" w:rsidRPr="001B5886">
        <w:rPr>
          <w:rFonts w:eastAsiaTheme="minorHAnsi"/>
          <w:sz w:val="28"/>
          <w:szCs w:val="28"/>
          <w:lang w:eastAsia="en-US"/>
        </w:rPr>
        <w:t xml:space="preserve"> оценк</w:t>
      </w:r>
      <w:r w:rsidRPr="001B5886">
        <w:rPr>
          <w:rFonts w:eastAsiaTheme="minorHAnsi"/>
          <w:sz w:val="28"/>
          <w:szCs w:val="28"/>
          <w:lang w:eastAsia="en-US"/>
        </w:rPr>
        <w:t>а</w:t>
      </w:r>
      <w:r w:rsidR="00B8326D" w:rsidRPr="001B5886">
        <w:rPr>
          <w:rFonts w:eastAsiaTheme="minorHAnsi"/>
          <w:sz w:val="28"/>
          <w:szCs w:val="28"/>
          <w:lang w:eastAsia="en-US"/>
        </w:rPr>
        <w:t xml:space="preserve"> эффек</w:t>
      </w:r>
      <w:r w:rsidR="009B3D9F" w:rsidRPr="001B5886">
        <w:rPr>
          <w:rFonts w:eastAsiaTheme="minorHAnsi"/>
          <w:sz w:val="28"/>
          <w:szCs w:val="28"/>
          <w:lang w:eastAsia="en-US"/>
        </w:rPr>
        <w:t>тивности муниципальной программы на 20</w:t>
      </w:r>
      <w:r w:rsidR="00474DF0" w:rsidRPr="001B5886">
        <w:rPr>
          <w:rFonts w:eastAsiaTheme="minorHAnsi"/>
          <w:sz w:val="28"/>
          <w:szCs w:val="28"/>
          <w:lang w:eastAsia="en-US"/>
        </w:rPr>
        <w:t>2</w:t>
      </w:r>
      <w:r w:rsidR="00497813" w:rsidRPr="001B5886">
        <w:rPr>
          <w:rFonts w:eastAsiaTheme="minorHAnsi"/>
          <w:sz w:val="28"/>
          <w:szCs w:val="28"/>
          <w:lang w:eastAsia="en-US"/>
        </w:rPr>
        <w:t>1</w:t>
      </w:r>
      <w:r w:rsidRPr="001B5886">
        <w:rPr>
          <w:rFonts w:eastAsiaTheme="minorHAnsi"/>
          <w:sz w:val="28"/>
          <w:szCs w:val="28"/>
          <w:lang w:eastAsia="en-US"/>
        </w:rPr>
        <w:t xml:space="preserve"> год</w:t>
      </w:r>
      <w:r w:rsidR="00B8326D" w:rsidRPr="001B5886">
        <w:rPr>
          <w:rFonts w:eastAsiaTheme="minorHAnsi"/>
          <w:sz w:val="28"/>
          <w:szCs w:val="28"/>
          <w:lang w:eastAsia="en-US"/>
        </w:rPr>
        <w:t>.</w:t>
      </w:r>
    </w:p>
    <w:p w:rsidR="00474DF0" w:rsidRPr="008A180B" w:rsidRDefault="00474DF0" w:rsidP="00474DF0">
      <w:pPr>
        <w:ind w:firstLine="720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При проведении эксперт</w:t>
      </w:r>
      <w:r>
        <w:rPr>
          <w:sz w:val="28"/>
          <w:szCs w:val="28"/>
        </w:rPr>
        <w:t>изы</w:t>
      </w:r>
      <w:r w:rsidRPr="008A18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A180B">
        <w:rPr>
          <w:sz w:val="28"/>
          <w:szCs w:val="28"/>
        </w:rPr>
        <w:t>роекта бюджет</w:t>
      </w:r>
      <w:r>
        <w:rPr>
          <w:sz w:val="28"/>
          <w:szCs w:val="28"/>
        </w:rPr>
        <w:t>а</w:t>
      </w:r>
      <w:r w:rsidRPr="008A180B">
        <w:rPr>
          <w:sz w:val="28"/>
          <w:szCs w:val="28"/>
        </w:rPr>
        <w:t xml:space="preserve"> был проведен сравнительный анализ </w:t>
      </w:r>
      <w:proofErr w:type="gramStart"/>
      <w:r w:rsidRPr="008A180B">
        <w:rPr>
          <w:sz w:val="28"/>
          <w:szCs w:val="28"/>
        </w:rPr>
        <w:t xml:space="preserve">фонда оплаты труда </w:t>
      </w:r>
      <w:r>
        <w:rPr>
          <w:sz w:val="28"/>
          <w:szCs w:val="28"/>
        </w:rPr>
        <w:t>работников муниципальных учреждений</w:t>
      </w:r>
      <w:proofErr w:type="gramEnd"/>
      <w:r>
        <w:rPr>
          <w:sz w:val="28"/>
          <w:szCs w:val="28"/>
        </w:rPr>
        <w:t xml:space="preserve"> и </w:t>
      </w:r>
      <w:r w:rsidRPr="008A180B">
        <w:rPr>
          <w:sz w:val="28"/>
          <w:szCs w:val="28"/>
        </w:rPr>
        <w:t xml:space="preserve">Администрации </w:t>
      </w:r>
      <w:r w:rsidR="00F63DAC">
        <w:rPr>
          <w:sz w:val="28"/>
          <w:szCs w:val="28"/>
        </w:rPr>
        <w:t>Буранн</w:t>
      </w:r>
      <w:r w:rsidRPr="008A180B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, предусмотренных в Проектах бюджета на 202</w:t>
      </w:r>
      <w:r w:rsidR="0049781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97813">
        <w:rPr>
          <w:sz w:val="28"/>
          <w:szCs w:val="28"/>
        </w:rPr>
        <w:t>3</w:t>
      </w:r>
      <w:r>
        <w:rPr>
          <w:sz w:val="28"/>
          <w:szCs w:val="28"/>
        </w:rPr>
        <w:t xml:space="preserve"> гг</w:t>
      </w:r>
      <w:r w:rsidRPr="008A180B">
        <w:rPr>
          <w:sz w:val="28"/>
          <w:szCs w:val="28"/>
        </w:rPr>
        <w:t>. Данные представлены в таблице:</w:t>
      </w:r>
    </w:p>
    <w:p w:rsidR="008A180B" w:rsidRPr="00F63DAC" w:rsidRDefault="00F4285F" w:rsidP="00F4285F">
      <w:pPr>
        <w:ind w:firstLine="851"/>
        <w:contextualSpacing/>
        <w:jc w:val="right"/>
        <w:rPr>
          <w:sz w:val="24"/>
          <w:szCs w:val="24"/>
        </w:rPr>
      </w:pPr>
      <w:r w:rsidRPr="00F63DAC">
        <w:rPr>
          <w:sz w:val="24"/>
          <w:szCs w:val="24"/>
        </w:rPr>
        <w:t>тыс. рублей</w:t>
      </w:r>
    </w:p>
    <w:tbl>
      <w:tblPr>
        <w:tblStyle w:val="40"/>
        <w:tblW w:w="9606" w:type="dxa"/>
        <w:tblLook w:val="04A0" w:firstRow="1" w:lastRow="0" w:firstColumn="1" w:lastColumn="0" w:noHBand="0" w:noVBand="1"/>
      </w:tblPr>
      <w:tblGrid>
        <w:gridCol w:w="960"/>
        <w:gridCol w:w="3780"/>
        <w:gridCol w:w="1600"/>
        <w:gridCol w:w="1600"/>
        <w:gridCol w:w="1666"/>
      </w:tblGrid>
      <w:tr w:rsidR="00F63DAC" w:rsidRPr="008C41BC" w:rsidTr="0082016F">
        <w:trPr>
          <w:trHeight w:val="630"/>
        </w:trPr>
        <w:tc>
          <w:tcPr>
            <w:tcW w:w="960" w:type="dxa"/>
            <w:hideMark/>
          </w:tcPr>
          <w:p w:rsidR="00F63DAC" w:rsidRPr="008C41BC" w:rsidRDefault="00F63DAC" w:rsidP="0082016F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3780" w:type="dxa"/>
            <w:hideMark/>
          </w:tcPr>
          <w:p w:rsidR="00F63DAC" w:rsidRPr="008C41BC" w:rsidRDefault="00F63DAC" w:rsidP="0082016F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00" w:type="dxa"/>
            <w:hideMark/>
          </w:tcPr>
          <w:p w:rsidR="00F63DAC" w:rsidRPr="008C41BC" w:rsidRDefault="00F63DAC" w:rsidP="0082016F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Сумма, тыс. руб.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2016F">
              <w:rPr>
                <w:rFonts w:ascii="Times New Roman" w:hAnsi="Times New Roman" w:cs="Times New Roman"/>
                <w:b/>
                <w:bCs/>
              </w:rPr>
              <w:t>2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600" w:type="dxa"/>
            <w:hideMark/>
          </w:tcPr>
          <w:p w:rsidR="00F63DAC" w:rsidRPr="008C41BC" w:rsidRDefault="00F63DAC" w:rsidP="0082016F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 xml:space="preserve"> Сумма, тыс. руб.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2016F">
              <w:rPr>
                <w:rFonts w:ascii="Times New Roman" w:hAnsi="Times New Roman" w:cs="Times New Roman"/>
                <w:b/>
                <w:bCs/>
              </w:rPr>
              <w:t>3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г. </w:t>
            </w:r>
          </w:p>
        </w:tc>
        <w:tc>
          <w:tcPr>
            <w:tcW w:w="1666" w:type="dxa"/>
            <w:hideMark/>
          </w:tcPr>
          <w:p w:rsidR="00F63DAC" w:rsidRPr="008C41BC" w:rsidRDefault="00F63DAC" w:rsidP="0082016F">
            <w:pPr>
              <w:rPr>
                <w:rFonts w:ascii="Times New Roman" w:hAnsi="Times New Roman" w:cs="Times New Roman"/>
                <w:b/>
                <w:bCs/>
              </w:rPr>
            </w:pPr>
            <w:r w:rsidRPr="008C41BC">
              <w:rPr>
                <w:rFonts w:ascii="Times New Roman" w:hAnsi="Times New Roman" w:cs="Times New Roman"/>
                <w:b/>
                <w:bCs/>
              </w:rPr>
              <w:t>% к 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2016F">
              <w:rPr>
                <w:rFonts w:ascii="Times New Roman" w:hAnsi="Times New Roman" w:cs="Times New Roman"/>
                <w:b/>
                <w:bCs/>
              </w:rPr>
              <w:t>2</w:t>
            </w:r>
            <w:r w:rsidRPr="008C41B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82016F" w:rsidRPr="008C41BC" w:rsidTr="0082016F">
        <w:trPr>
          <w:trHeight w:val="379"/>
        </w:trPr>
        <w:tc>
          <w:tcPr>
            <w:tcW w:w="960" w:type="dxa"/>
            <w:hideMark/>
          </w:tcPr>
          <w:p w:rsidR="0082016F" w:rsidRPr="001640EB" w:rsidRDefault="0082016F" w:rsidP="0082016F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80" w:type="dxa"/>
            <w:hideMark/>
          </w:tcPr>
          <w:p w:rsidR="0082016F" w:rsidRPr="001640EB" w:rsidRDefault="0082016F" w:rsidP="0082016F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Буранного</w:t>
            </w:r>
            <w:r w:rsidRPr="001640EB">
              <w:rPr>
                <w:rFonts w:ascii="Times New Roman" w:hAnsi="Times New Roman" w:cs="Times New Roman"/>
              </w:rPr>
              <w:t xml:space="preserve">  сельского поселения </w:t>
            </w:r>
          </w:p>
        </w:tc>
        <w:tc>
          <w:tcPr>
            <w:tcW w:w="1600" w:type="dxa"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</w:rPr>
            </w:pPr>
            <w:r w:rsidRPr="0082016F">
              <w:rPr>
                <w:rFonts w:ascii="Times New Roman" w:hAnsi="Times New Roman" w:cs="Times New Roman"/>
              </w:rPr>
              <w:t>4 176,21</w:t>
            </w:r>
          </w:p>
        </w:tc>
        <w:tc>
          <w:tcPr>
            <w:tcW w:w="1600" w:type="dxa"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</w:rPr>
            </w:pPr>
            <w:r w:rsidRPr="0082016F">
              <w:rPr>
                <w:rFonts w:ascii="Times New Roman" w:hAnsi="Times New Roman" w:cs="Times New Roman"/>
              </w:rPr>
              <w:t>5 070,30</w:t>
            </w:r>
          </w:p>
        </w:tc>
        <w:tc>
          <w:tcPr>
            <w:tcW w:w="1666" w:type="dxa"/>
            <w:noWrap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</w:rPr>
            </w:pPr>
            <w:r w:rsidRPr="0082016F">
              <w:rPr>
                <w:rFonts w:ascii="Times New Roman" w:hAnsi="Times New Roman" w:cs="Times New Roman"/>
              </w:rPr>
              <w:t>121,41%</w:t>
            </w:r>
          </w:p>
        </w:tc>
      </w:tr>
      <w:tr w:rsidR="0082016F" w:rsidRPr="008C41BC" w:rsidTr="0082016F">
        <w:trPr>
          <w:trHeight w:val="178"/>
        </w:trPr>
        <w:tc>
          <w:tcPr>
            <w:tcW w:w="960" w:type="dxa"/>
          </w:tcPr>
          <w:p w:rsidR="0082016F" w:rsidRPr="00C16E80" w:rsidRDefault="0082016F" w:rsidP="0082016F">
            <w:pPr>
              <w:rPr>
                <w:rFonts w:ascii="Times New Roman" w:hAnsi="Times New Roman" w:cs="Times New Roman"/>
              </w:rPr>
            </w:pPr>
            <w:r w:rsidRPr="00C16E8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80" w:type="dxa"/>
          </w:tcPr>
          <w:p w:rsidR="0082016F" w:rsidRPr="00C16E80" w:rsidRDefault="0082016F" w:rsidP="0082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ВУС</w:t>
            </w:r>
          </w:p>
        </w:tc>
        <w:tc>
          <w:tcPr>
            <w:tcW w:w="1600" w:type="dxa"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</w:rPr>
            </w:pPr>
            <w:r w:rsidRPr="0082016F">
              <w:rPr>
                <w:rFonts w:ascii="Times New Roman" w:hAnsi="Times New Roman" w:cs="Times New Roman"/>
              </w:rPr>
              <w:t>244,35</w:t>
            </w:r>
          </w:p>
        </w:tc>
        <w:tc>
          <w:tcPr>
            <w:tcW w:w="1600" w:type="dxa"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</w:rPr>
            </w:pPr>
            <w:r w:rsidRPr="0082016F">
              <w:rPr>
                <w:rFonts w:ascii="Times New Roman" w:hAnsi="Times New Roman" w:cs="Times New Roman"/>
              </w:rPr>
              <w:t>291,83</w:t>
            </w:r>
          </w:p>
        </w:tc>
        <w:tc>
          <w:tcPr>
            <w:tcW w:w="1666" w:type="dxa"/>
            <w:noWrap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</w:rPr>
            </w:pPr>
            <w:r w:rsidRPr="0082016F">
              <w:rPr>
                <w:rFonts w:ascii="Times New Roman" w:hAnsi="Times New Roman" w:cs="Times New Roman"/>
              </w:rPr>
              <w:t>119,43%</w:t>
            </w:r>
          </w:p>
        </w:tc>
      </w:tr>
      <w:tr w:rsidR="0082016F" w:rsidRPr="008C41BC" w:rsidTr="0082016F">
        <w:trPr>
          <w:trHeight w:val="178"/>
        </w:trPr>
        <w:tc>
          <w:tcPr>
            <w:tcW w:w="960" w:type="dxa"/>
            <w:hideMark/>
          </w:tcPr>
          <w:p w:rsidR="0082016F" w:rsidRPr="001640EB" w:rsidRDefault="0082016F" w:rsidP="0082016F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780" w:type="dxa"/>
            <w:hideMark/>
          </w:tcPr>
          <w:p w:rsidR="0082016F" w:rsidRPr="001640EB" w:rsidRDefault="0082016F" w:rsidP="0082016F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МУК 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Буранная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640EB">
              <w:rPr>
                <w:rFonts w:ascii="Times New Roman" w:hAnsi="Times New Roman" w:cs="Times New Roman"/>
              </w:rPr>
              <w:t xml:space="preserve"> ЦКС"</w:t>
            </w:r>
          </w:p>
        </w:tc>
        <w:tc>
          <w:tcPr>
            <w:tcW w:w="1600" w:type="dxa"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</w:rPr>
            </w:pPr>
            <w:r w:rsidRPr="0082016F">
              <w:rPr>
                <w:rFonts w:ascii="Times New Roman" w:hAnsi="Times New Roman" w:cs="Times New Roman"/>
              </w:rPr>
              <w:t>7 779,29</w:t>
            </w:r>
          </w:p>
        </w:tc>
        <w:tc>
          <w:tcPr>
            <w:tcW w:w="1600" w:type="dxa"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</w:rPr>
            </w:pPr>
            <w:r w:rsidRPr="0082016F">
              <w:rPr>
                <w:rFonts w:ascii="Times New Roman" w:hAnsi="Times New Roman" w:cs="Times New Roman"/>
              </w:rPr>
              <w:t>8 128,78</w:t>
            </w:r>
          </w:p>
        </w:tc>
        <w:tc>
          <w:tcPr>
            <w:tcW w:w="1666" w:type="dxa"/>
            <w:noWrap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</w:rPr>
            </w:pPr>
            <w:r w:rsidRPr="0082016F">
              <w:rPr>
                <w:rFonts w:ascii="Times New Roman" w:hAnsi="Times New Roman" w:cs="Times New Roman"/>
              </w:rPr>
              <w:t>104,49%</w:t>
            </w:r>
          </w:p>
        </w:tc>
      </w:tr>
      <w:tr w:rsidR="0082016F" w:rsidRPr="00F63DAC" w:rsidTr="0082016F">
        <w:trPr>
          <w:trHeight w:val="315"/>
        </w:trPr>
        <w:tc>
          <w:tcPr>
            <w:tcW w:w="960" w:type="dxa"/>
            <w:hideMark/>
          </w:tcPr>
          <w:p w:rsidR="0082016F" w:rsidRPr="001640EB" w:rsidRDefault="0082016F" w:rsidP="0082016F">
            <w:pPr>
              <w:rPr>
                <w:rFonts w:ascii="Times New Roman" w:hAnsi="Times New Roman" w:cs="Times New Roman"/>
              </w:rPr>
            </w:pPr>
            <w:r w:rsidRPr="001640E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80" w:type="dxa"/>
            <w:hideMark/>
          </w:tcPr>
          <w:p w:rsidR="0082016F" w:rsidRPr="00F63DAC" w:rsidRDefault="0082016F" w:rsidP="0082016F">
            <w:pPr>
              <w:rPr>
                <w:rFonts w:ascii="Times New Roman" w:hAnsi="Times New Roman" w:cs="Times New Roman"/>
                <w:b/>
              </w:rPr>
            </w:pPr>
            <w:r w:rsidRPr="00F63DA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00" w:type="dxa"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16F">
              <w:rPr>
                <w:rFonts w:ascii="Times New Roman" w:hAnsi="Times New Roman" w:cs="Times New Roman"/>
                <w:b/>
              </w:rPr>
              <w:t>12 199,85</w:t>
            </w:r>
          </w:p>
        </w:tc>
        <w:tc>
          <w:tcPr>
            <w:tcW w:w="1600" w:type="dxa"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16F">
              <w:rPr>
                <w:rFonts w:ascii="Times New Roman" w:hAnsi="Times New Roman" w:cs="Times New Roman"/>
                <w:b/>
              </w:rPr>
              <w:t>13 490,91</w:t>
            </w:r>
          </w:p>
        </w:tc>
        <w:tc>
          <w:tcPr>
            <w:tcW w:w="1666" w:type="dxa"/>
            <w:noWrap/>
          </w:tcPr>
          <w:p w:rsidR="0082016F" w:rsidRPr="0082016F" w:rsidRDefault="0082016F" w:rsidP="00820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16F">
              <w:rPr>
                <w:rFonts w:ascii="Times New Roman" w:hAnsi="Times New Roman" w:cs="Times New Roman"/>
                <w:b/>
              </w:rPr>
              <w:t>110,58%</w:t>
            </w:r>
          </w:p>
        </w:tc>
      </w:tr>
    </w:tbl>
    <w:p w:rsidR="00F63DAC" w:rsidRDefault="00F63DAC" w:rsidP="00F4285F">
      <w:pPr>
        <w:ind w:firstLine="851"/>
        <w:contextualSpacing/>
        <w:jc w:val="right"/>
        <w:rPr>
          <w:sz w:val="28"/>
          <w:szCs w:val="28"/>
        </w:rPr>
      </w:pPr>
    </w:p>
    <w:p w:rsidR="007E0BE4" w:rsidRDefault="007E0BE4" w:rsidP="007E0BE4">
      <w:pPr>
        <w:ind w:firstLine="851"/>
        <w:contextualSpacing/>
        <w:jc w:val="both"/>
        <w:rPr>
          <w:sz w:val="28"/>
          <w:szCs w:val="28"/>
        </w:rPr>
      </w:pPr>
      <w:r w:rsidRPr="007E0BE4">
        <w:rPr>
          <w:sz w:val="28"/>
          <w:szCs w:val="28"/>
        </w:rPr>
        <w:t>Из показателей таблицы следует, что увеличение фонда оплаты труда произошло в связи с повышением оплаты труда в 2022 году и прогнозируемым повышением оплаты труда в 2023 году.</w:t>
      </w:r>
    </w:p>
    <w:p w:rsidR="007E0BE4" w:rsidRDefault="007E0BE4" w:rsidP="007E0BE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расчетам, запланированные поселением и утвержденные по сметам расходы на 2023 год представлены в таблице: </w:t>
      </w:r>
    </w:p>
    <w:p w:rsidR="007E0BE4" w:rsidRDefault="007E0BE4" w:rsidP="007E0BE4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4"/>
          <w:szCs w:val="24"/>
        </w:rPr>
      </w:pPr>
      <w:r w:rsidRPr="0052637E">
        <w:rPr>
          <w:color w:val="000000"/>
          <w:sz w:val="24"/>
          <w:szCs w:val="24"/>
        </w:rPr>
        <w:t>тыс. рублей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62"/>
        <w:gridCol w:w="2958"/>
        <w:gridCol w:w="1960"/>
        <w:gridCol w:w="2440"/>
        <w:gridCol w:w="1560"/>
      </w:tblGrid>
      <w:tr w:rsidR="007E0BE4" w:rsidRPr="000B0E8E" w:rsidTr="00B94DC9">
        <w:trPr>
          <w:trHeight w:val="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0B0E8E">
              <w:rPr>
                <w:color w:val="000000"/>
                <w:sz w:val="22"/>
                <w:szCs w:val="22"/>
                <w:lang w:eastAsia="ja-JP"/>
              </w:rPr>
              <w:t>№ подстатьи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0B0E8E">
              <w:rPr>
                <w:color w:val="000000"/>
                <w:sz w:val="22"/>
                <w:szCs w:val="22"/>
                <w:lang w:eastAsia="ja-JP"/>
              </w:rPr>
              <w:t>Наименование 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0B0E8E">
              <w:rPr>
                <w:color w:val="000000"/>
                <w:sz w:val="22"/>
                <w:szCs w:val="22"/>
                <w:lang w:eastAsia="ja-JP"/>
              </w:rPr>
              <w:t>Исчислено поселением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0B0E8E">
              <w:rPr>
                <w:color w:val="000000"/>
                <w:sz w:val="22"/>
                <w:szCs w:val="22"/>
                <w:lang w:eastAsia="ja-JP"/>
              </w:rPr>
              <w:t>Утверждено по смете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 w:rsidRPr="000B0E8E">
              <w:rPr>
                <w:color w:val="000000"/>
                <w:sz w:val="22"/>
                <w:szCs w:val="22"/>
                <w:lang w:eastAsia="ja-JP"/>
              </w:rPr>
              <w:t>Отклонения</w:t>
            </w:r>
          </w:p>
        </w:tc>
      </w:tr>
      <w:tr w:rsidR="007E0BE4" w:rsidRPr="000B0E8E" w:rsidTr="007E0BE4">
        <w:trPr>
          <w:trHeight w:val="48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0B0E8E">
              <w:rPr>
                <w:color w:val="000000"/>
                <w:sz w:val="18"/>
                <w:szCs w:val="18"/>
                <w:lang w:eastAsia="ja-JP"/>
              </w:rPr>
              <w:t>210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both"/>
              <w:rPr>
                <w:color w:val="000000"/>
                <w:sz w:val="18"/>
                <w:szCs w:val="18"/>
                <w:lang w:eastAsia="ja-JP"/>
              </w:rPr>
            </w:pPr>
            <w:r w:rsidRPr="000B0E8E">
              <w:rPr>
                <w:color w:val="000000"/>
                <w:sz w:val="18"/>
                <w:szCs w:val="18"/>
                <w:lang w:eastAsia="ja-JP"/>
              </w:rPr>
              <w:t>Оплата труда и начисления на оплату труда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C0290" w:rsidP="007E0BE4">
            <w:pPr>
              <w:jc w:val="center"/>
            </w:pPr>
            <w:r>
              <w:t>13 490,91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7C0290" w:rsidRDefault="007C0290" w:rsidP="007E0BE4">
            <w:pPr>
              <w:jc w:val="center"/>
            </w:pPr>
            <w:r w:rsidRPr="007C0290">
              <w:t>13 490,91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100,00%</w:t>
            </w:r>
          </w:p>
        </w:tc>
      </w:tr>
      <w:tr w:rsidR="007E0BE4" w:rsidRPr="000B0E8E" w:rsidTr="007E0BE4">
        <w:trPr>
          <w:trHeight w:val="7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0B0E8E">
              <w:rPr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both"/>
              <w:rPr>
                <w:color w:val="000000"/>
                <w:sz w:val="18"/>
                <w:szCs w:val="18"/>
                <w:lang w:eastAsia="ja-JP"/>
              </w:rPr>
            </w:pPr>
            <w:r w:rsidRPr="000B0E8E">
              <w:rPr>
                <w:color w:val="000000"/>
                <w:sz w:val="18"/>
                <w:szCs w:val="18"/>
                <w:lang w:eastAsia="ja-JP"/>
              </w:rPr>
              <w:t>Коммунальные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3 560,30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3 560,30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100,00%</w:t>
            </w:r>
          </w:p>
        </w:tc>
      </w:tr>
      <w:tr w:rsidR="007E0BE4" w:rsidRPr="000B0E8E" w:rsidTr="007E0BE4">
        <w:trPr>
          <w:trHeight w:val="7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0B0E8E">
              <w:rPr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both"/>
              <w:rPr>
                <w:color w:val="000000"/>
                <w:sz w:val="18"/>
                <w:szCs w:val="18"/>
                <w:lang w:eastAsia="ja-JP"/>
              </w:rPr>
            </w:pPr>
            <w:r w:rsidRPr="000B0E8E">
              <w:rPr>
                <w:color w:val="000000"/>
                <w:sz w:val="18"/>
                <w:szCs w:val="18"/>
                <w:lang w:eastAsia="ja-JP"/>
              </w:rPr>
              <w:t>Услуги связи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197,20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0,00%</w:t>
            </w:r>
          </w:p>
        </w:tc>
      </w:tr>
      <w:tr w:rsidR="007E0BE4" w:rsidRPr="000B0E8E" w:rsidTr="007E0BE4">
        <w:trPr>
          <w:trHeight w:val="7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0B0E8E">
              <w:rPr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E4" w:rsidRPr="000B0E8E" w:rsidRDefault="007E0BE4" w:rsidP="00B94DC9">
            <w:pPr>
              <w:rPr>
                <w:color w:val="000000"/>
                <w:sz w:val="18"/>
                <w:szCs w:val="18"/>
                <w:lang w:eastAsia="ja-JP"/>
              </w:rPr>
            </w:pPr>
            <w:r w:rsidRPr="000B0E8E">
              <w:rPr>
                <w:color w:val="000000"/>
                <w:sz w:val="18"/>
                <w:szCs w:val="18"/>
                <w:lang w:eastAsia="ja-JP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4 167,60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E4" w:rsidRPr="00311C54" w:rsidRDefault="007E0BE4" w:rsidP="007E0BE4">
            <w:pPr>
              <w:jc w:val="center"/>
            </w:pPr>
            <w:r w:rsidRPr="00311C54">
              <w:t>0,00%</w:t>
            </w:r>
          </w:p>
        </w:tc>
      </w:tr>
    </w:tbl>
    <w:p w:rsidR="007E0BE4" w:rsidRDefault="007E0BE4" w:rsidP="007E0BE4">
      <w:pPr>
        <w:ind w:firstLine="851"/>
        <w:contextualSpacing/>
        <w:jc w:val="both"/>
        <w:rPr>
          <w:sz w:val="28"/>
          <w:szCs w:val="28"/>
        </w:rPr>
      </w:pPr>
      <w:r w:rsidRPr="00E102DA">
        <w:rPr>
          <w:color w:val="000000"/>
          <w:sz w:val="28"/>
          <w:szCs w:val="28"/>
        </w:rPr>
        <w:t>Исходя из данных таблицы видно, что на оплату труда</w:t>
      </w:r>
      <w:r>
        <w:rPr>
          <w:color w:val="000000"/>
          <w:sz w:val="28"/>
          <w:szCs w:val="28"/>
        </w:rPr>
        <w:t>,</w:t>
      </w:r>
      <w:r w:rsidRPr="00E102DA">
        <w:rPr>
          <w:color w:val="000000"/>
          <w:sz w:val="28"/>
          <w:szCs w:val="28"/>
        </w:rPr>
        <w:t xml:space="preserve"> коммунальные расходы</w:t>
      </w:r>
      <w:r>
        <w:rPr>
          <w:color w:val="000000"/>
          <w:sz w:val="28"/>
          <w:szCs w:val="28"/>
        </w:rPr>
        <w:t xml:space="preserve"> </w:t>
      </w:r>
      <w:r w:rsidRPr="00E102DA">
        <w:rPr>
          <w:color w:val="000000"/>
          <w:sz w:val="28"/>
          <w:szCs w:val="28"/>
        </w:rPr>
        <w:t xml:space="preserve">выделено 100%, </w:t>
      </w:r>
      <w:r>
        <w:rPr>
          <w:color w:val="000000"/>
          <w:sz w:val="28"/>
          <w:szCs w:val="28"/>
        </w:rPr>
        <w:t xml:space="preserve">на услуги связи и </w:t>
      </w:r>
      <w:r w:rsidRPr="00E102D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прочие</w:t>
      </w:r>
      <w:r w:rsidRPr="00E102DA">
        <w:rPr>
          <w:color w:val="000000"/>
          <w:sz w:val="28"/>
          <w:szCs w:val="28"/>
        </w:rPr>
        <w:t xml:space="preserve"> расходы </w:t>
      </w:r>
      <w:r>
        <w:rPr>
          <w:color w:val="000000"/>
          <w:sz w:val="28"/>
          <w:szCs w:val="28"/>
        </w:rPr>
        <w:t>0</w:t>
      </w:r>
      <w:r w:rsidRPr="00E102DA">
        <w:rPr>
          <w:color w:val="000000"/>
          <w:sz w:val="28"/>
          <w:szCs w:val="28"/>
        </w:rPr>
        <w:t xml:space="preserve">%. В условиях </w:t>
      </w:r>
      <w:r>
        <w:rPr>
          <w:color w:val="000000"/>
          <w:sz w:val="28"/>
          <w:szCs w:val="28"/>
        </w:rPr>
        <w:t>недостаточности</w:t>
      </w:r>
      <w:r w:rsidRPr="00E102DA">
        <w:rPr>
          <w:color w:val="000000"/>
          <w:sz w:val="28"/>
          <w:szCs w:val="28"/>
        </w:rPr>
        <w:t xml:space="preserve"> доходов</w:t>
      </w:r>
      <w:r>
        <w:rPr>
          <w:color w:val="000000"/>
          <w:sz w:val="28"/>
          <w:szCs w:val="28"/>
        </w:rPr>
        <w:t>,</w:t>
      </w:r>
      <w:r w:rsidRPr="00E102DA">
        <w:rPr>
          <w:color w:val="000000"/>
          <w:sz w:val="28"/>
          <w:szCs w:val="28"/>
        </w:rPr>
        <w:t xml:space="preserve"> расходы </w:t>
      </w:r>
      <w:r>
        <w:rPr>
          <w:color w:val="000000"/>
          <w:sz w:val="28"/>
          <w:szCs w:val="28"/>
        </w:rPr>
        <w:t>уменьшены</w:t>
      </w:r>
      <w:r w:rsidRPr="00E102DA">
        <w:rPr>
          <w:color w:val="000000"/>
          <w:sz w:val="28"/>
          <w:szCs w:val="28"/>
        </w:rPr>
        <w:t xml:space="preserve"> таким образом, чтобы получился сбалансированный бюджет, поэтому дефицит бюджета является</w:t>
      </w:r>
      <w:r>
        <w:rPr>
          <w:color w:val="000000"/>
          <w:sz w:val="28"/>
          <w:szCs w:val="28"/>
        </w:rPr>
        <w:t xml:space="preserve"> скрытым.</w:t>
      </w:r>
    </w:p>
    <w:p w:rsidR="00400D64" w:rsidRPr="00D179E2" w:rsidRDefault="00400D64" w:rsidP="00400D64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400D64" w:rsidRPr="00D179E2" w:rsidRDefault="00400D64" w:rsidP="00EF1DB7">
      <w:pPr>
        <w:pStyle w:val="af3"/>
        <w:widowControl w:val="0"/>
        <w:numPr>
          <w:ilvl w:val="0"/>
          <w:numId w:val="34"/>
        </w:numPr>
        <w:tabs>
          <w:tab w:val="left" w:pos="3210"/>
        </w:tabs>
        <w:jc w:val="center"/>
        <w:rPr>
          <w:b/>
          <w:color w:val="000000"/>
          <w:sz w:val="28"/>
          <w:szCs w:val="28"/>
        </w:rPr>
      </w:pPr>
      <w:r w:rsidRPr="00D179E2">
        <w:rPr>
          <w:b/>
          <w:color w:val="000000"/>
          <w:sz w:val="28"/>
          <w:szCs w:val="28"/>
        </w:rPr>
        <w:t>Дефицит бюджета и источники его финансирования</w:t>
      </w:r>
    </w:p>
    <w:p w:rsidR="00400D64" w:rsidRPr="00D179E2" w:rsidRDefault="00400D64" w:rsidP="00400D64">
      <w:pPr>
        <w:widowControl w:val="0"/>
        <w:ind w:firstLine="567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 </w:t>
      </w:r>
    </w:p>
    <w:p w:rsidR="00F63DAC" w:rsidRDefault="00F63DAC" w:rsidP="00F63DAC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A180B">
        <w:rPr>
          <w:color w:val="000000"/>
          <w:sz w:val="28"/>
          <w:szCs w:val="28"/>
        </w:rPr>
        <w:t xml:space="preserve">асходы </w:t>
      </w:r>
      <w:r>
        <w:rPr>
          <w:color w:val="000000"/>
          <w:sz w:val="28"/>
          <w:szCs w:val="28"/>
        </w:rPr>
        <w:t xml:space="preserve">Проекта </w:t>
      </w:r>
      <w:r w:rsidRPr="008A180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202</w:t>
      </w:r>
      <w:r w:rsidR="007E0B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7E0B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гг. </w:t>
      </w:r>
      <w:r w:rsidRPr="008A180B">
        <w:rPr>
          <w:color w:val="000000"/>
          <w:sz w:val="28"/>
          <w:szCs w:val="28"/>
        </w:rPr>
        <w:t>обеспечиваются плановыми доходами.</w:t>
      </w:r>
      <w:r>
        <w:rPr>
          <w:color w:val="000000"/>
          <w:sz w:val="28"/>
          <w:szCs w:val="28"/>
        </w:rPr>
        <w:t xml:space="preserve"> Бюджет запланирован </w:t>
      </w:r>
      <w:proofErr w:type="gramStart"/>
      <w:r>
        <w:rPr>
          <w:color w:val="000000"/>
          <w:sz w:val="28"/>
          <w:szCs w:val="28"/>
        </w:rPr>
        <w:t>бездефицитным</w:t>
      </w:r>
      <w:proofErr w:type="gramEnd"/>
      <w:r>
        <w:rPr>
          <w:color w:val="000000"/>
          <w:sz w:val="28"/>
          <w:szCs w:val="28"/>
        </w:rPr>
        <w:t xml:space="preserve">. </w:t>
      </w:r>
      <w:r w:rsidRPr="008A180B">
        <w:rPr>
          <w:color w:val="000000"/>
          <w:sz w:val="28"/>
          <w:szCs w:val="28"/>
        </w:rPr>
        <w:t xml:space="preserve"> </w:t>
      </w:r>
    </w:p>
    <w:p w:rsidR="00F63DAC" w:rsidRPr="00C7193D" w:rsidRDefault="00F63DAC" w:rsidP="00F63DAC">
      <w:pPr>
        <w:widowControl w:val="0"/>
        <w:ind w:firstLine="567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Проектом бюджета</w:t>
      </w:r>
      <w:r>
        <w:rPr>
          <w:sz w:val="28"/>
          <w:szCs w:val="28"/>
        </w:rPr>
        <w:t xml:space="preserve"> (Приложение №6)</w:t>
      </w:r>
      <w:r w:rsidRPr="008A180B">
        <w:rPr>
          <w:bCs/>
          <w:sz w:val="28"/>
          <w:szCs w:val="28"/>
        </w:rPr>
        <w:t xml:space="preserve"> </w:t>
      </w:r>
      <w:r w:rsidRPr="008A180B">
        <w:rPr>
          <w:sz w:val="28"/>
          <w:szCs w:val="28"/>
        </w:rPr>
        <w:t>предлагается утвердить источник</w:t>
      </w:r>
      <w:r>
        <w:rPr>
          <w:sz w:val="28"/>
          <w:szCs w:val="28"/>
        </w:rPr>
        <w:t>и внутреннего</w:t>
      </w:r>
      <w:r w:rsidRPr="008A180B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 xml:space="preserve">Буранного сельского </w:t>
      </w:r>
      <w:r w:rsidRPr="008A180B">
        <w:rPr>
          <w:sz w:val="28"/>
          <w:szCs w:val="28"/>
        </w:rPr>
        <w:t>поселения на 20</w:t>
      </w:r>
      <w:r>
        <w:rPr>
          <w:sz w:val="28"/>
          <w:szCs w:val="28"/>
        </w:rPr>
        <w:t>2</w:t>
      </w:r>
      <w:r w:rsidR="007E0BE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E0BE4">
        <w:rPr>
          <w:sz w:val="28"/>
          <w:szCs w:val="28"/>
        </w:rPr>
        <w:t>5</w:t>
      </w:r>
      <w:r w:rsidRPr="008A180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г.: </w:t>
      </w:r>
      <w:r w:rsidRPr="00C7193D">
        <w:rPr>
          <w:bCs/>
          <w:sz w:val="28"/>
          <w:szCs w:val="28"/>
        </w:rPr>
        <w:t xml:space="preserve">изменение остатков средств на счетах по учету средств </w:t>
      </w:r>
      <w:r>
        <w:rPr>
          <w:bCs/>
          <w:sz w:val="28"/>
          <w:szCs w:val="28"/>
        </w:rPr>
        <w:t>бюджета</w:t>
      </w:r>
      <w:r w:rsidRPr="00C7193D">
        <w:rPr>
          <w:bCs/>
          <w:sz w:val="28"/>
          <w:szCs w:val="28"/>
        </w:rPr>
        <w:t>.</w:t>
      </w:r>
    </w:p>
    <w:p w:rsidR="00F63DAC" w:rsidRDefault="00F63DAC" w:rsidP="00F63DAC">
      <w:pPr>
        <w:widowControl w:val="0"/>
        <w:ind w:firstLine="567"/>
        <w:jc w:val="both"/>
        <w:rPr>
          <w:sz w:val="28"/>
          <w:szCs w:val="28"/>
        </w:rPr>
      </w:pPr>
      <w:r w:rsidRPr="008A180B">
        <w:rPr>
          <w:sz w:val="28"/>
          <w:szCs w:val="28"/>
        </w:rPr>
        <w:t>Предусмотренный источник финансирования дефицита бюджета</w:t>
      </w:r>
      <w:r w:rsidRPr="008A180B">
        <w:rPr>
          <w:bCs/>
          <w:sz w:val="28"/>
          <w:szCs w:val="28"/>
        </w:rPr>
        <w:t xml:space="preserve"> сельского поселения</w:t>
      </w:r>
      <w:r w:rsidRPr="008A180B">
        <w:rPr>
          <w:sz w:val="28"/>
          <w:szCs w:val="28"/>
        </w:rPr>
        <w:t xml:space="preserve"> соответствует статье 96 Бюджетно</w:t>
      </w:r>
      <w:r>
        <w:rPr>
          <w:sz w:val="28"/>
          <w:szCs w:val="28"/>
        </w:rPr>
        <w:t>го кодекса Российской Федерации.</w:t>
      </w:r>
    </w:p>
    <w:p w:rsidR="001D5DAA" w:rsidRPr="00D179E2" w:rsidRDefault="001D5DAA" w:rsidP="00400D64">
      <w:pPr>
        <w:ind w:firstLine="720"/>
        <w:jc w:val="both"/>
        <w:rPr>
          <w:sz w:val="28"/>
          <w:szCs w:val="28"/>
        </w:rPr>
      </w:pPr>
      <w:r w:rsidRPr="00D179E2">
        <w:rPr>
          <w:color w:val="000000"/>
          <w:sz w:val="28"/>
          <w:szCs w:val="28"/>
        </w:rPr>
        <w:lastRenderedPageBreak/>
        <w:t xml:space="preserve">   </w:t>
      </w:r>
    </w:p>
    <w:p w:rsidR="00400D64" w:rsidRPr="00D179E2" w:rsidRDefault="00400D64" w:rsidP="00301993">
      <w:pPr>
        <w:pStyle w:val="af3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D179E2">
        <w:rPr>
          <w:b/>
          <w:sz w:val="28"/>
          <w:szCs w:val="28"/>
        </w:rPr>
        <w:t>В</w:t>
      </w:r>
      <w:r w:rsidR="00EF1DB7" w:rsidRPr="00D179E2">
        <w:rPr>
          <w:b/>
          <w:sz w:val="28"/>
          <w:szCs w:val="28"/>
        </w:rPr>
        <w:t>ыводы:</w:t>
      </w:r>
    </w:p>
    <w:p w:rsidR="00400D64" w:rsidRPr="00D179E2" w:rsidRDefault="00400D64" w:rsidP="00400D64">
      <w:pPr>
        <w:ind w:firstLine="720"/>
        <w:jc w:val="center"/>
        <w:rPr>
          <w:b/>
          <w:sz w:val="28"/>
          <w:szCs w:val="28"/>
        </w:rPr>
      </w:pPr>
    </w:p>
    <w:p w:rsidR="00400D64" w:rsidRPr="00D179E2" w:rsidRDefault="00400D64" w:rsidP="00400D64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1). На основании вышеизложенного, Контрольно-счетная палата считает, что предложенный Проект решения Совета депутатов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«О бюджете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</w:t>
      </w:r>
      <w:r w:rsidR="00F6279B">
        <w:rPr>
          <w:sz w:val="28"/>
          <w:szCs w:val="28"/>
        </w:rPr>
        <w:t>на 202</w:t>
      </w:r>
      <w:r w:rsidR="007E0BE4">
        <w:rPr>
          <w:sz w:val="28"/>
          <w:szCs w:val="28"/>
        </w:rPr>
        <w:t>3</w:t>
      </w:r>
      <w:r w:rsidR="00F6279B">
        <w:rPr>
          <w:sz w:val="28"/>
          <w:szCs w:val="28"/>
        </w:rPr>
        <w:t xml:space="preserve"> год и на плановый период 202</w:t>
      </w:r>
      <w:r w:rsidR="007E0BE4">
        <w:rPr>
          <w:sz w:val="28"/>
          <w:szCs w:val="28"/>
        </w:rPr>
        <w:t>4</w:t>
      </w:r>
      <w:r w:rsidR="00F6279B">
        <w:rPr>
          <w:sz w:val="28"/>
          <w:szCs w:val="28"/>
        </w:rPr>
        <w:t xml:space="preserve"> и 202</w:t>
      </w:r>
      <w:r w:rsidR="007E0BE4">
        <w:rPr>
          <w:sz w:val="28"/>
          <w:szCs w:val="28"/>
        </w:rPr>
        <w:t>5</w:t>
      </w:r>
      <w:r w:rsidR="00F6279B">
        <w:rPr>
          <w:sz w:val="28"/>
          <w:szCs w:val="28"/>
        </w:rPr>
        <w:t xml:space="preserve"> годов</w:t>
      </w:r>
      <w:r w:rsidRPr="00D179E2">
        <w:rPr>
          <w:sz w:val="28"/>
          <w:szCs w:val="28"/>
        </w:rPr>
        <w:t>» в целом соответствует нормам действующего бюджетного законодательства.</w:t>
      </w:r>
    </w:p>
    <w:p w:rsidR="00400D64" w:rsidRDefault="00400D64" w:rsidP="00400D64">
      <w:pPr>
        <w:ind w:firstLine="720"/>
        <w:jc w:val="both"/>
        <w:rPr>
          <w:sz w:val="28"/>
          <w:szCs w:val="28"/>
        </w:rPr>
      </w:pPr>
      <w:r w:rsidRPr="00D179E2">
        <w:rPr>
          <w:sz w:val="28"/>
          <w:szCs w:val="28"/>
        </w:rPr>
        <w:t xml:space="preserve">2). Проект решения Совета депутатов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«О бюджете </w:t>
      </w:r>
      <w:r w:rsidR="00BF1776" w:rsidRPr="00D179E2">
        <w:rPr>
          <w:sz w:val="28"/>
          <w:szCs w:val="28"/>
        </w:rPr>
        <w:t>Буранного</w:t>
      </w:r>
      <w:r w:rsidRPr="00D179E2">
        <w:rPr>
          <w:sz w:val="28"/>
          <w:szCs w:val="28"/>
        </w:rPr>
        <w:t xml:space="preserve"> сельского поселения </w:t>
      </w:r>
      <w:r w:rsidR="00F6279B">
        <w:rPr>
          <w:sz w:val="28"/>
          <w:szCs w:val="28"/>
        </w:rPr>
        <w:t>на 202</w:t>
      </w:r>
      <w:r w:rsidR="007E0BE4">
        <w:rPr>
          <w:sz w:val="28"/>
          <w:szCs w:val="28"/>
        </w:rPr>
        <w:t>3</w:t>
      </w:r>
      <w:r w:rsidR="00F6279B">
        <w:rPr>
          <w:sz w:val="28"/>
          <w:szCs w:val="28"/>
        </w:rPr>
        <w:t xml:space="preserve"> год и на плановый период 202</w:t>
      </w:r>
      <w:r w:rsidR="007E0BE4">
        <w:rPr>
          <w:sz w:val="28"/>
          <w:szCs w:val="28"/>
        </w:rPr>
        <w:t>4</w:t>
      </w:r>
      <w:r w:rsidR="00F6279B">
        <w:rPr>
          <w:sz w:val="28"/>
          <w:szCs w:val="28"/>
        </w:rPr>
        <w:t xml:space="preserve"> и 202</w:t>
      </w:r>
      <w:r w:rsidR="007E0BE4">
        <w:rPr>
          <w:sz w:val="28"/>
          <w:szCs w:val="28"/>
        </w:rPr>
        <w:t>5</w:t>
      </w:r>
      <w:r w:rsidR="00F6279B">
        <w:rPr>
          <w:sz w:val="28"/>
          <w:szCs w:val="28"/>
        </w:rPr>
        <w:t xml:space="preserve"> годов</w:t>
      </w:r>
      <w:r w:rsidRPr="00D179E2">
        <w:rPr>
          <w:sz w:val="28"/>
          <w:szCs w:val="28"/>
        </w:rPr>
        <w:t xml:space="preserve">» </w:t>
      </w:r>
      <w:r w:rsidR="00664174">
        <w:rPr>
          <w:sz w:val="28"/>
          <w:szCs w:val="28"/>
        </w:rPr>
        <w:t>рекоменду</w:t>
      </w:r>
      <w:r w:rsidR="007145AE">
        <w:rPr>
          <w:sz w:val="28"/>
          <w:szCs w:val="28"/>
        </w:rPr>
        <w:t>ем</w:t>
      </w:r>
      <w:r w:rsidR="00664174">
        <w:rPr>
          <w:sz w:val="28"/>
          <w:szCs w:val="28"/>
        </w:rPr>
        <w:t xml:space="preserve"> </w:t>
      </w:r>
      <w:r w:rsidR="00AE760A" w:rsidRPr="00D179E2">
        <w:rPr>
          <w:sz w:val="28"/>
          <w:szCs w:val="28"/>
        </w:rPr>
        <w:t>рассмотре</w:t>
      </w:r>
      <w:r w:rsidR="00664174">
        <w:rPr>
          <w:sz w:val="28"/>
          <w:szCs w:val="28"/>
        </w:rPr>
        <w:t>ть</w:t>
      </w:r>
      <w:r w:rsidR="00AE760A" w:rsidRPr="00D179E2">
        <w:rPr>
          <w:sz w:val="28"/>
          <w:szCs w:val="28"/>
        </w:rPr>
        <w:t xml:space="preserve"> Советом депутатов </w:t>
      </w:r>
      <w:r w:rsidR="00BF1776" w:rsidRPr="00D179E2">
        <w:rPr>
          <w:sz w:val="28"/>
          <w:szCs w:val="28"/>
        </w:rPr>
        <w:t>Буранного</w:t>
      </w:r>
      <w:r w:rsidR="00AE760A" w:rsidRPr="00D179E2">
        <w:rPr>
          <w:sz w:val="28"/>
          <w:szCs w:val="28"/>
        </w:rPr>
        <w:t xml:space="preserve"> сельского поселения</w:t>
      </w:r>
      <w:r w:rsidRPr="00D179E2">
        <w:rPr>
          <w:sz w:val="28"/>
          <w:szCs w:val="28"/>
        </w:rPr>
        <w:t xml:space="preserve">. </w:t>
      </w:r>
    </w:p>
    <w:p w:rsidR="00DA146B" w:rsidRPr="00D179E2" w:rsidRDefault="00DA146B" w:rsidP="00400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 </w:t>
      </w:r>
      <w:r w:rsidRPr="00DA146B">
        <w:rPr>
          <w:sz w:val="28"/>
          <w:szCs w:val="28"/>
        </w:rPr>
        <w:t xml:space="preserve">Проект решения Совета депутатов Буранного сельского поселения «О бюджете Буранного сельского поселения на 2023 год и на плановый период 2024 и 2025 годов» с приложениями </w:t>
      </w:r>
      <w:r>
        <w:rPr>
          <w:sz w:val="28"/>
          <w:szCs w:val="28"/>
        </w:rPr>
        <w:t>рекоменду</w:t>
      </w:r>
      <w:r w:rsidR="007145A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DA146B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 </w:t>
      </w:r>
      <w:r w:rsidRPr="00DA146B">
        <w:rPr>
          <w:sz w:val="28"/>
          <w:szCs w:val="28"/>
        </w:rPr>
        <w:t>в средствах массовой информации.</w:t>
      </w:r>
    </w:p>
    <w:p w:rsidR="00400D64" w:rsidRPr="00D179E2" w:rsidRDefault="00400D64" w:rsidP="00400D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6EE9" w:rsidRDefault="000D6EE9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330C5" w:rsidRPr="00D179E2" w:rsidRDefault="00F330C5" w:rsidP="00630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92E6D" w:rsidRDefault="00892E6D" w:rsidP="00892E6D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Г.К. Тихонова</w:t>
      </w:r>
    </w:p>
    <w:p w:rsidR="00892E6D" w:rsidRDefault="00892E6D" w:rsidP="00892E6D">
      <w:pPr>
        <w:jc w:val="both"/>
        <w:rPr>
          <w:sz w:val="22"/>
          <w:szCs w:val="19"/>
        </w:rPr>
      </w:pPr>
    </w:p>
    <w:p w:rsidR="00892E6D" w:rsidRDefault="00892E6D" w:rsidP="003D63AB">
      <w:pPr>
        <w:spacing w:line="200" w:lineRule="exact"/>
        <w:jc w:val="both"/>
        <w:rPr>
          <w:sz w:val="22"/>
          <w:szCs w:val="19"/>
        </w:rPr>
      </w:pPr>
      <w:r>
        <w:rPr>
          <w:sz w:val="22"/>
          <w:szCs w:val="19"/>
        </w:rPr>
        <w:t>Исполнитель:</w:t>
      </w:r>
    </w:p>
    <w:p w:rsidR="00892E6D" w:rsidRDefault="007145AE" w:rsidP="003D63AB">
      <w:pPr>
        <w:spacing w:line="200" w:lineRule="exact"/>
        <w:jc w:val="both"/>
        <w:rPr>
          <w:sz w:val="22"/>
          <w:szCs w:val="19"/>
        </w:rPr>
      </w:pPr>
      <w:r>
        <w:rPr>
          <w:sz w:val="22"/>
          <w:szCs w:val="19"/>
        </w:rPr>
        <w:t xml:space="preserve">аудитор </w:t>
      </w:r>
      <w:r w:rsidR="00892E6D">
        <w:rPr>
          <w:sz w:val="22"/>
          <w:szCs w:val="19"/>
        </w:rPr>
        <w:t>Стрельникова О.В.</w:t>
      </w:r>
    </w:p>
    <w:p w:rsidR="00892E6D" w:rsidRDefault="00892E6D" w:rsidP="003D63AB">
      <w:pPr>
        <w:spacing w:line="200" w:lineRule="exact"/>
        <w:jc w:val="both"/>
        <w:rPr>
          <w:sz w:val="22"/>
          <w:szCs w:val="19"/>
        </w:rPr>
      </w:pPr>
    </w:p>
    <w:p w:rsidR="00892E6D" w:rsidRDefault="00892E6D" w:rsidP="003D63AB">
      <w:pPr>
        <w:spacing w:line="200" w:lineRule="exact"/>
        <w:jc w:val="both"/>
        <w:rPr>
          <w:sz w:val="22"/>
          <w:szCs w:val="19"/>
        </w:rPr>
      </w:pPr>
    </w:p>
    <w:p w:rsidR="002251A8" w:rsidRDefault="002251A8">
      <w:pPr>
        <w:jc w:val="both"/>
        <w:rPr>
          <w:sz w:val="22"/>
          <w:szCs w:val="19"/>
        </w:rPr>
      </w:pPr>
    </w:p>
    <w:p w:rsidR="002251A8" w:rsidRPr="00D179E2" w:rsidRDefault="002251A8">
      <w:pPr>
        <w:jc w:val="both"/>
        <w:rPr>
          <w:sz w:val="22"/>
          <w:szCs w:val="19"/>
        </w:rPr>
      </w:pPr>
    </w:p>
    <w:p w:rsidR="00301993" w:rsidRPr="00D179E2" w:rsidRDefault="00301993">
      <w:pPr>
        <w:jc w:val="both"/>
        <w:rPr>
          <w:sz w:val="22"/>
          <w:szCs w:val="19"/>
        </w:rPr>
      </w:pPr>
      <w:r w:rsidRPr="00D179E2">
        <w:rPr>
          <w:sz w:val="22"/>
          <w:szCs w:val="19"/>
        </w:rPr>
        <w:t>Ознакомлены:</w:t>
      </w:r>
    </w:p>
    <w:p w:rsidR="00664174" w:rsidRDefault="00664174">
      <w:pPr>
        <w:jc w:val="both"/>
        <w:rPr>
          <w:sz w:val="22"/>
          <w:szCs w:val="19"/>
        </w:rPr>
      </w:pPr>
    </w:p>
    <w:p w:rsidR="00301993" w:rsidRPr="00D179E2" w:rsidRDefault="00301993">
      <w:pPr>
        <w:jc w:val="both"/>
        <w:rPr>
          <w:sz w:val="22"/>
          <w:szCs w:val="19"/>
        </w:rPr>
      </w:pPr>
      <w:r w:rsidRPr="00D179E2">
        <w:rPr>
          <w:sz w:val="22"/>
          <w:szCs w:val="19"/>
        </w:rPr>
        <w:t>Глава сельского поселения_________________________________________________________</w:t>
      </w:r>
    </w:p>
    <w:p w:rsidR="00301993" w:rsidRPr="00D179E2" w:rsidRDefault="00301993">
      <w:pPr>
        <w:jc w:val="both"/>
        <w:rPr>
          <w:sz w:val="22"/>
          <w:szCs w:val="19"/>
        </w:rPr>
      </w:pPr>
    </w:p>
    <w:p w:rsidR="00664174" w:rsidRDefault="00664174">
      <w:pPr>
        <w:jc w:val="both"/>
        <w:rPr>
          <w:sz w:val="22"/>
          <w:szCs w:val="19"/>
        </w:rPr>
      </w:pPr>
    </w:p>
    <w:p w:rsidR="00301993" w:rsidRDefault="00301993">
      <w:pPr>
        <w:jc w:val="both"/>
        <w:rPr>
          <w:sz w:val="22"/>
          <w:szCs w:val="19"/>
        </w:rPr>
      </w:pPr>
      <w:r w:rsidRPr="00D179E2">
        <w:rPr>
          <w:sz w:val="22"/>
          <w:szCs w:val="19"/>
        </w:rPr>
        <w:t>Председатель Совета депутатов_____________________________________________________</w:t>
      </w:r>
    </w:p>
    <w:p w:rsidR="005D3958" w:rsidRDefault="005D3958">
      <w:pPr>
        <w:jc w:val="both"/>
        <w:rPr>
          <w:sz w:val="22"/>
          <w:szCs w:val="19"/>
        </w:rPr>
      </w:pPr>
    </w:p>
    <w:p w:rsidR="00301993" w:rsidRDefault="00301993">
      <w:pPr>
        <w:jc w:val="both"/>
        <w:rPr>
          <w:sz w:val="22"/>
          <w:szCs w:val="19"/>
        </w:rPr>
      </w:pPr>
    </w:p>
    <w:p w:rsidR="005D3958" w:rsidRDefault="005D3958">
      <w:pPr>
        <w:jc w:val="both"/>
        <w:rPr>
          <w:sz w:val="22"/>
          <w:szCs w:val="19"/>
        </w:rPr>
      </w:pPr>
      <w:r>
        <w:rPr>
          <w:sz w:val="22"/>
          <w:szCs w:val="19"/>
        </w:rPr>
        <w:t>Получил:________________________________________________________________________</w:t>
      </w:r>
    </w:p>
    <w:sectPr w:rsidR="005D3958" w:rsidSect="0001356E">
      <w:footerReference w:type="default" r:id="rId12"/>
      <w:pgSz w:w="11906" w:h="16838"/>
      <w:pgMar w:top="851" w:right="851" w:bottom="127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77" w:rsidRDefault="00810977" w:rsidP="00714F67">
      <w:r>
        <w:separator/>
      </w:r>
    </w:p>
  </w:endnote>
  <w:endnote w:type="continuationSeparator" w:id="0">
    <w:p w:rsidR="00810977" w:rsidRDefault="00810977" w:rsidP="0071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20164"/>
    </w:sdtPr>
    <w:sdtEndPr/>
    <w:sdtContent>
      <w:p w:rsidR="0082016F" w:rsidRDefault="0082016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4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016F" w:rsidRDefault="008201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77" w:rsidRDefault="00810977" w:rsidP="00714F67">
      <w:r>
        <w:separator/>
      </w:r>
    </w:p>
  </w:footnote>
  <w:footnote w:type="continuationSeparator" w:id="0">
    <w:p w:rsidR="00810977" w:rsidRDefault="00810977" w:rsidP="0071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8"/>
    <w:multiLevelType w:val="hybridMultilevel"/>
    <w:tmpl w:val="870EC0CA"/>
    <w:lvl w:ilvl="0" w:tplc="81E2550E">
      <w:start w:val="2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1753AB9"/>
    <w:multiLevelType w:val="hybridMultilevel"/>
    <w:tmpl w:val="6980B500"/>
    <w:lvl w:ilvl="0" w:tplc="24182964">
      <w:start w:val="20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F2148F"/>
    <w:multiLevelType w:val="hybridMultilevel"/>
    <w:tmpl w:val="5768C69E"/>
    <w:lvl w:ilvl="0" w:tplc="2AC2B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A70EC"/>
    <w:multiLevelType w:val="hybridMultilevel"/>
    <w:tmpl w:val="FA4AA45E"/>
    <w:lvl w:ilvl="0" w:tplc="AA9223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2164C7"/>
    <w:multiLevelType w:val="hybridMultilevel"/>
    <w:tmpl w:val="E44E253C"/>
    <w:lvl w:ilvl="0" w:tplc="B99ACF9A"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4463DC"/>
    <w:multiLevelType w:val="hybridMultilevel"/>
    <w:tmpl w:val="59B87C00"/>
    <w:lvl w:ilvl="0" w:tplc="A608F18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10E45"/>
    <w:multiLevelType w:val="hybridMultilevel"/>
    <w:tmpl w:val="9B963360"/>
    <w:lvl w:ilvl="0" w:tplc="BC1CF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E5D63"/>
    <w:multiLevelType w:val="hybridMultilevel"/>
    <w:tmpl w:val="09A2F562"/>
    <w:lvl w:ilvl="0" w:tplc="22206C1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6B1FDD"/>
    <w:multiLevelType w:val="hybridMultilevel"/>
    <w:tmpl w:val="0BE0CA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6D72009"/>
    <w:multiLevelType w:val="hybridMultilevel"/>
    <w:tmpl w:val="63728394"/>
    <w:lvl w:ilvl="0" w:tplc="3DB6CA3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4B02F1"/>
    <w:multiLevelType w:val="hybridMultilevel"/>
    <w:tmpl w:val="61FC658C"/>
    <w:lvl w:ilvl="0" w:tplc="FF1EF1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75C0F80"/>
    <w:multiLevelType w:val="hybridMultilevel"/>
    <w:tmpl w:val="C400A8AC"/>
    <w:lvl w:ilvl="0" w:tplc="FEF4A13A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707B17"/>
    <w:multiLevelType w:val="hybridMultilevel"/>
    <w:tmpl w:val="FDC07C3A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73EA9"/>
    <w:multiLevelType w:val="hybridMultilevel"/>
    <w:tmpl w:val="850CA08C"/>
    <w:lvl w:ilvl="0" w:tplc="9474A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94119"/>
    <w:multiLevelType w:val="hybridMultilevel"/>
    <w:tmpl w:val="45A66E36"/>
    <w:lvl w:ilvl="0" w:tplc="ACE6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A5950"/>
    <w:multiLevelType w:val="hybridMultilevel"/>
    <w:tmpl w:val="A810E74C"/>
    <w:lvl w:ilvl="0" w:tplc="AE9AB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F7439"/>
    <w:multiLevelType w:val="hybridMultilevel"/>
    <w:tmpl w:val="A956F20E"/>
    <w:lvl w:ilvl="0" w:tplc="52364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27E1"/>
    <w:multiLevelType w:val="multilevel"/>
    <w:tmpl w:val="062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6F779C"/>
    <w:multiLevelType w:val="multilevel"/>
    <w:tmpl w:val="D286DC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AF4981"/>
    <w:multiLevelType w:val="multilevel"/>
    <w:tmpl w:val="02C21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22753"/>
    <w:multiLevelType w:val="hybridMultilevel"/>
    <w:tmpl w:val="5B02EC8A"/>
    <w:lvl w:ilvl="0" w:tplc="E55456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326068"/>
    <w:multiLevelType w:val="hybridMultilevel"/>
    <w:tmpl w:val="5E00801C"/>
    <w:lvl w:ilvl="0" w:tplc="F30CA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A4316"/>
    <w:multiLevelType w:val="hybridMultilevel"/>
    <w:tmpl w:val="E8745902"/>
    <w:lvl w:ilvl="0" w:tplc="8C9CDD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CB3389"/>
    <w:multiLevelType w:val="hybridMultilevel"/>
    <w:tmpl w:val="0F00D830"/>
    <w:lvl w:ilvl="0" w:tplc="1D70B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A02572"/>
    <w:multiLevelType w:val="hybridMultilevel"/>
    <w:tmpl w:val="710E9C8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535C7"/>
    <w:multiLevelType w:val="hybridMultilevel"/>
    <w:tmpl w:val="AF2820DC"/>
    <w:lvl w:ilvl="0" w:tplc="3CDC4D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E50648"/>
    <w:multiLevelType w:val="hybridMultilevel"/>
    <w:tmpl w:val="E216F2C0"/>
    <w:lvl w:ilvl="0" w:tplc="A2505EA8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E974AE8"/>
    <w:multiLevelType w:val="hybridMultilevel"/>
    <w:tmpl w:val="AD88ADE2"/>
    <w:lvl w:ilvl="0" w:tplc="E144A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6A4E16"/>
    <w:multiLevelType w:val="hybridMultilevel"/>
    <w:tmpl w:val="B6B49C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"/>
  </w:num>
  <w:num w:numId="5">
    <w:abstractNumId w:val="12"/>
  </w:num>
  <w:num w:numId="6">
    <w:abstractNumId w:val="0"/>
  </w:num>
  <w:num w:numId="7">
    <w:abstractNumId w:val="22"/>
  </w:num>
  <w:num w:numId="8">
    <w:abstractNumId w:val="28"/>
  </w:num>
  <w:num w:numId="9">
    <w:abstractNumId w:val="23"/>
  </w:num>
  <w:num w:numId="10">
    <w:abstractNumId w:val="16"/>
  </w:num>
  <w:num w:numId="11">
    <w:abstractNumId w:val="27"/>
  </w:num>
  <w:num w:numId="12">
    <w:abstractNumId w:val="11"/>
  </w:num>
  <w:num w:numId="13">
    <w:abstractNumId w:val="26"/>
  </w:num>
  <w:num w:numId="14">
    <w:abstractNumId w:val="9"/>
  </w:num>
  <w:num w:numId="15">
    <w:abstractNumId w:val="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7"/>
  </w:num>
  <w:num w:numId="20">
    <w:abstractNumId w:val="1"/>
  </w:num>
  <w:num w:numId="21">
    <w:abstractNumId w:val="8"/>
  </w:num>
  <w:num w:numId="22">
    <w:abstractNumId w:val="24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</w:num>
  <w:num w:numId="28">
    <w:abstractNumId w:val="15"/>
  </w:num>
  <w:num w:numId="29">
    <w:abstractNumId w:val="6"/>
  </w:num>
  <w:num w:numId="30">
    <w:abstractNumId w:val="17"/>
  </w:num>
  <w:num w:numId="31">
    <w:abstractNumId w:val="13"/>
  </w:num>
  <w:num w:numId="32">
    <w:abstractNumId w:val="25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B5B"/>
    <w:rsid w:val="00001270"/>
    <w:rsid w:val="000039E1"/>
    <w:rsid w:val="00004082"/>
    <w:rsid w:val="00011F3C"/>
    <w:rsid w:val="00012E73"/>
    <w:rsid w:val="0001356E"/>
    <w:rsid w:val="00021134"/>
    <w:rsid w:val="00023394"/>
    <w:rsid w:val="00024373"/>
    <w:rsid w:val="000248FA"/>
    <w:rsid w:val="00024A7C"/>
    <w:rsid w:val="00025D64"/>
    <w:rsid w:val="00026A07"/>
    <w:rsid w:val="00031E71"/>
    <w:rsid w:val="000321F4"/>
    <w:rsid w:val="00032B5B"/>
    <w:rsid w:val="00033D3F"/>
    <w:rsid w:val="00035EFB"/>
    <w:rsid w:val="0004068D"/>
    <w:rsid w:val="000413D6"/>
    <w:rsid w:val="000413DA"/>
    <w:rsid w:val="000415C7"/>
    <w:rsid w:val="00042813"/>
    <w:rsid w:val="00050A6C"/>
    <w:rsid w:val="00051BEE"/>
    <w:rsid w:val="00056A3D"/>
    <w:rsid w:val="000576A4"/>
    <w:rsid w:val="0006589C"/>
    <w:rsid w:val="00070771"/>
    <w:rsid w:val="00074F18"/>
    <w:rsid w:val="00076CD9"/>
    <w:rsid w:val="00077255"/>
    <w:rsid w:val="00081ACE"/>
    <w:rsid w:val="000837BC"/>
    <w:rsid w:val="00084488"/>
    <w:rsid w:val="00084FF1"/>
    <w:rsid w:val="000916BD"/>
    <w:rsid w:val="00092A14"/>
    <w:rsid w:val="000934C5"/>
    <w:rsid w:val="00094918"/>
    <w:rsid w:val="00096F9E"/>
    <w:rsid w:val="000A326E"/>
    <w:rsid w:val="000A727E"/>
    <w:rsid w:val="000A7C9D"/>
    <w:rsid w:val="000B15F3"/>
    <w:rsid w:val="000B7ED3"/>
    <w:rsid w:val="000C0747"/>
    <w:rsid w:val="000C13AD"/>
    <w:rsid w:val="000C4262"/>
    <w:rsid w:val="000C4623"/>
    <w:rsid w:val="000C4C02"/>
    <w:rsid w:val="000C6240"/>
    <w:rsid w:val="000D3058"/>
    <w:rsid w:val="000D4032"/>
    <w:rsid w:val="000D6184"/>
    <w:rsid w:val="000D6EE9"/>
    <w:rsid w:val="000D768E"/>
    <w:rsid w:val="000D792E"/>
    <w:rsid w:val="000E0785"/>
    <w:rsid w:val="000E1445"/>
    <w:rsid w:val="000E3FB7"/>
    <w:rsid w:val="000E769A"/>
    <w:rsid w:val="000F1705"/>
    <w:rsid w:val="000F2FAF"/>
    <w:rsid w:val="000F419A"/>
    <w:rsid w:val="00100209"/>
    <w:rsid w:val="00103215"/>
    <w:rsid w:val="001048F4"/>
    <w:rsid w:val="001075D2"/>
    <w:rsid w:val="00107C47"/>
    <w:rsid w:val="00111309"/>
    <w:rsid w:val="0013421D"/>
    <w:rsid w:val="00134E77"/>
    <w:rsid w:val="00140B91"/>
    <w:rsid w:val="001410CE"/>
    <w:rsid w:val="001412EE"/>
    <w:rsid w:val="001442A7"/>
    <w:rsid w:val="0014641D"/>
    <w:rsid w:val="00153357"/>
    <w:rsid w:val="001663D5"/>
    <w:rsid w:val="00172DEB"/>
    <w:rsid w:val="001755FC"/>
    <w:rsid w:val="0017592E"/>
    <w:rsid w:val="001759D0"/>
    <w:rsid w:val="00177963"/>
    <w:rsid w:val="00180465"/>
    <w:rsid w:val="00183B3B"/>
    <w:rsid w:val="00185301"/>
    <w:rsid w:val="00185374"/>
    <w:rsid w:val="001854A3"/>
    <w:rsid w:val="00192D17"/>
    <w:rsid w:val="00194472"/>
    <w:rsid w:val="001954FB"/>
    <w:rsid w:val="00196735"/>
    <w:rsid w:val="001A44E2"/>
    <w:rsid w:val="001A57F6"/>
    <w:rsid w:val="001A7F8C"/>
    <w:rsid w:val="001B210B"/>
    <w:rsid w:val="001B5886"/>
    <w:rsid w:val="001B5CAD"/>
    <w:rsid w:val="001C0017"/>
    <w:rsid w:val="001C06E1"/>
    <w:rsid w:val="001C0982"/>
    <w:rsid w:val="001C3D3F"/>
    <w:rsid w:val="001C4523"/>
    <w:rsid w:val="001C5D44"/>
    <w:rsid w:val="001C5F7E"/>
    <w:rsid w:val="001C6B7B"/>
    <w:rsid w:val="001D17AE"/>
    <w:rsid w:val="001D5DAA"/>
    <w:rsid w:val="001D6B31"/>
    <w:rsid w:val="001D78F6"/>
    <w:rsid w:val="001E0EEA"/>
    <w:rsid w:val="001E154A"/>
    <w:rsid w:val="001E601D"/>
    <w:rsid w:val="001F01A5"/>
    <w:rsid w:val="001F2A00"/>
    <w:rsid w:val="001F6D56"/>
    <w:rsid w:val="0020061E"/>
    <w:rsid w:val="002038C5"/>
    <w:rsid w:val="0020445A"/>
    <w:rsid w:val="00205F1E"/>
    <w:rsid w:val="00206F87"/>
    <w:rsid w:val="00210CB3"/>
    <w:rsid w:val="0021516D"/>
    <w:rsid w:val="00217969"/>
    <w:rsid w:val="002208F7"/>
    <w:rsid w:val="00223DFD"/>
    <w:rsid w:val="002251A8"/>
    <w:rsid w:val="00225C6C"/>
    <w:rsid w:val="002261C1"/>
    <w:rsid w:val="00230477"/>
    <w:rsid w:val="00231463"/>
    <w:rsid w:val="00233647"/>
    <w:rsid w:val="00236BBB"/>
    <w:rsid w:val="00241F87"/>
    <w:rsid w:val="00246E09"/>
    <w:rsid w:val="00250DE4"/>
    <w:rsid w:val="002521BD"/>
    <w:rsid w:val="00260230"/>
    <w:rsid w:val="00263C92"/>
    <w:rsid w:val="0026540A"/>
    <w:rsid w:val="0026722B"/>
    <w:rsid w:val="00267306"/>
    <w:rsid w:val="002724A3"/>
    <w:rsid w:val="0027367B"/>
    <w:rsid w:val="002765E2"/>
    <w:rsid w:val="00280E2C"/>
    <w:rsid w:val="00284258"/>
    <w:rsid w:val="0028486D"/>
    <w:rsid w:val="00285211"/>
    <w:rsid w:val="00287F1B"/>
    <w:rsid w:val="0029064C"/>
    <w:rsid w:val="002A09B5"/>
    <w:rsid w:val="002A0EC7"/>
    <w:rsid w:val="002B0888"/>
    <w:rsid w:val="002B13AF"/>
    <w:rsid w:val="002B194D"/>
    <w:rsid w:val="002B2375"/>
    <w:rsid w:val="002B2E6A"/>
    <w:rsid w:val="002B401C"/>
    <w:rsid w:val="002B78B5"/>
    <w:rsid w:val="002C034D"/>
    <w:rsid w:val="002C662E"/>
    <w:rsid w:val="002D213E"/>
    <w:rsid w:val="002D65E9"/>
    <w:rsid w:val="002E581B"/>
    <w:rsid w:val="002F0282"/>
    <w:rsid w:val="002F0E03"/>
    <w:rsid w:val="002F53A9"/>
    <w:rsid w:val="002F74FC"/>
    <w:rsid w:val="00301993"/>
    <w:rsid w:val="003023C2"/>
    <w:rsid w:val="003028C3"/>
    <w:rsid w:val="00304EF5"/>
    <w:rsid w:val="00310B91"/>
    <w:rsid w:val="00311D1F"/>
    <w:rsid w:val="00314465"/>
    <w:rsid w:val="0031579A"/>
    <w:rsid w:val="003219EC"/>
    <w:rsid w:val="00321FB1"/>
    <w:rsid w:val="0032231B"/>
    <w:rsid w:val="0032377D"/>
    <w:rsid w:val="00330B26"/>
    <w:rsid w:val="00331E35"/>
    <w:rsid w:val="003347C4"/>
    <w:rsid w:val="0034315B"/>
    <w:rsid w:val="00343596"/>
    <w:rsid w:val="003479D5"/>
    <w:rsid w:val="003542D1"/>
    <w:rsid w:val="00355ADA"/>
    <w:rsid w:val="00361E2F"/>
    <w:rsid w:val="003624D7"/>
    <w:rsid w:val="00367718"/>
    <w:rsid w:val="0037748A"/>
    <w:rsid w:val="00387530"/>
    <w:rsid w:val="0039329A"/>
    <w:rsid w:val="003940DB"/>
    <w:rsid w:val="00394A32"/>
    <w:rsid w:val="00395A9C"/>
    <w:rsid w:val="00395D52"/>
    <w:rsid w:val="00396692"/>
    <w:rsid w:val="00396769"/>
    <w:rsid w:val="003974CF"/>
    <w:rsid w:val="00397965"/>
    <w:rsid w:val="00397C71"/>
    <w:rsid w:val="003A0C45"/>
    <w:rsid w:val="003A36C3"/>
    <w:rsid w:val="003A38B9"/>
    <w:rsid w:val="003A4998"/>
    <w:rsid w:val="003A730B"/>
    <w:rsid w:val="003B685F"/>
    <w:rsid w:val="003C1E51"/>
    <w:rsid w:val="003C6A03"/>
    <w:rsid w:val="003C7511"/>
    <w:rsid w:val="003C7B3B"/>
    <w:rsid w:val="003D13CB"/>
    <w:rsid w:val="003D472E"/>
    <w:rsid w:val="003D5D96"/>
    <w:rsid w:val="003D63AB"/>
    <w:rsid w:val="003D690B"/>
    <w:rsid w:val="003D725C"/>
    <w:rsid w:val="003E140D"/>
    <w:rsid w:val="003E2E0F"/>
    <w:rsid w:val="003E2F7A"/>
    <w:rsid w:val="003E46F0"/>
    <w:rsid w:val="003F3C82"/>
    <w:rsid w:val="004000A4"/>
    <w:rsid w:val="00400D64"/>
    <w:rsid w:val="004061C2"/>
    <w:rsid w:val="004117FF"/>
    <w:rsid w:val="00412F78"/>
    <w:rsid w:val="0042106B"/>
    <w:rsid w:val="00421C50"/>
    <w:rsid w:val="00430875"/>
    <w:rsid w:val="00432D6E"/>
    <w:rsid w:val="004332F4"/>
    <w:rsid w:val="00434D51"/>
    <w:rsid w:val="004444EC"/>
    <w:rsid w:val="00447F86"/>
    <w:rsid w:val="0045539C"/>
    <w:rsid w:val="004561EE"/>
    <w:rsid w:val="0046261E"/>
    <w:rsid w:val="004669BE"/>
    <w:rsid w:val="0046748B"/>
    <w:rsid w:val="00473739"/>
    <w:rsid w:val="00474DF0"/>
    <w:rsid w:val="00476603"/>
    <w:rsid w:val="00476748"/>
    <w:rsid w:val="00477AB0"/>
    <w:rsid w:val="00480995"/>
    <w:rsid w:val="00495816"/>
    <w:rsid w:val="00497813"/>
    <w:rsid w:val="00497A07"/>
    <w:rsid w:val="004A5130"/>
    <w:rsid w:val="004A58C0"/>
    <w:rsid w:val="004A7019"/>
    <w:rsid w:val="004B0238"/>
    <w:rsid w:val="004C5AF1"/>
    <w:rsid w:val="004D25E7"/>
    <w:rsid w:val="004D57EC"/>
    <w:rsid w:val="004D59D7"/>
    <w:rsid w:val="004E129F"/>
    <w:rsid w:val="004E22D1"/>
    <w:rsid w:val="004E609E"/>
    <w:rsid w:val="004E7BF2"/>
    <w:rsid w:val="004F0FDC"/>
    <w:rsid w:val="004F29D7"/>
    <w:rsid w:val="004F34D2"/>
    <w:rsid w:val="004F3E29"/>
    <w:rsid w:val="004F56CA"/>
    <w:rsid w:val="004F74F1"/>
    <w:rsid w:val="00501B33"/>
    <w:rsid w:val="00511E6C"/>
    <w:rsid w:val="00515B1F"/>
    <w:rsid w:val="00516945"/>
    <w:rsid w:val="005205BB"/>
    <w:rsid w:val="00521403"/>
    <w:rsid w:val="005262F3"/>
    <w:rsid w:val="00526BB1"/>
    <w:rsid w:val="00535CB0"/>
    <w:rsid w:val="00537D10"/>
    <w:rsid w:val="0054076E"/>
    <w:rsid w:val="00542BD6"/>
    <w:rsid w:val="00546013"/>
    <w:rsid w:val="0054709D"/>
    <w:rsid w:val="00550C64"/>
    <w:rsid w:val="00551AAB"/>
    <w:rsid w:val="00551F92"/>
    <w:rsid w:val="00554E29"/>
    <w:rsid w:val="00554F37"/>
    <w:rsid w:val="0056564C"/>
    <w:rsid w:val="005664CB"/>
    <w:rsid w:val="00567490"/>
    <w:rsid w:val="0056764F"/>
    <w:rsid w:val="005678B1"/>
    <w:rsid w:val="005735E2"/>
    <w:rsid w:val="005753D8"/>
    <w:rsid w:val="00577CDD"/>
    <w:rsid w:val="00580A4E"/>
    <w:rsid w:val="00581941"/>
    <w:rsid w:val="0058284A"/>
    <w:rsid w:val="00590600"/>
    <w:rsid w:val="00595838"/>
    <w:rsid w:val="00596E0E"/>
    <w:rsid w:val="005A2FF7"/>
    <w:rsid w:val="005A7587"/>
    <w:rsid w:val="005B005F"/>
    <w:rsid w:val="005B0B1B"/>
    <w:rsid w:val="005B0B73"/>
    <w:rsid w:val="005B13B2"/>
    <w:rsid w:val="005B593E"/>
    <w:rsid w:val="005B720F"/>
    <w:rsid w:val="005C01D6"/>
    <w:rsid w:val="005C0DA4"/>
    <w:rsid w:val="005C28C6"/>
    <w:rsid w:val="005C53EF"/>
    <w:rsid w:val="005C7984"/>
    <w:rsid w:val="005D1560"/>
    <w:rsid w:val="005D1DA8"/>
    <w:rsid w:val="005D3958"/>
    <w:rsid w:val="005D613A"/>
    <w:rsid w:val="005E2197"/>
    <w:rsid w:val="005E4B61"/>
    <w:rsid w:val="005E6A21"/>
    <w:rsid w:val="005E7CA6"/>
    <w:rsid w:val="005F5CE4"/>
    <w:rsid w:val="005F5F71"/>
    <w:rsid w:val="0060476A"/>
    <w:rsid w:val="00606BAE"/>
    <w:rsid w:val="00612A5E"/>
    <w:rsid w:val="00620A83"/>
    <w:rsid w:val="00623C7A"/>
    <w:rsid w:val="00630488"/>
    <w:rsid w:val="00630B3F"/>
    <w:rsid w:val="006310E7"/>
    <w:rsid w:val="0063165B"/>
    <w:rsid w:val="00642BB8"/>
    <w:rsid w:val="00645BEC"/>
    <w:rsid w:val="00645D7E"/>
    <w:rsid w:val="00650AE5"/>
    <w:rsid w:val="0065160A"/>
    <w:rsid w:val="006524DC"/>
    <w:rsid w:val="00656FBA"/>
    <w:rsid w:val="00657218"/>
    <w:rsid w:val="00657EFE"/>
    <w:rsid w:val="006600AA"/>
    <w:rsid w:val="006616CF"/>
    <w:rsid w:val="00664174"/>
    <w:rsid w:val="00664279"/>
    <w:rsid w:val="00664FE3"/>
    <w:rsid w:val="00672723"/>
    <w:rsid w:val="00682650"/>
    <w:rsid w:val="0068794D"/>
    <w:rsid w:val="0069021C"/>
    <w:rsid w:val="006953EF"/>
    <w:rsid w:val="006957ED"/>
    <w:rsid w:val="006A0B5D"/>
    <w:rsid w:val="006A0EAE"/>
    <w:rsid w:val="006A3736"/>
    <w:rsid w:val="006A38EB"/>
    <w:rsid w:val="006A3E09"/>
    <w:rsid w:val="006A5136"/>
    <w:rsid w:val="006A54D3"/>
    <w:rsid w:val="006B4E77"/>
    <w:rsid w:val="006B7AAE"/>
    <w:rsid w:val="006B7D1C"/>
    <w:rsid w:val="006C49A1"/>
    <w:rsid w:val="006D4A57"/>
    <w:rsid w:val="006E4A16"/>
    <w:rsid w:val="006E587A"/>
    <w:rsid w:val="006E63F8"/>
    <w:rsid w:val="006F1F55"/>
    <w:rsid w:val="006F3D39"/>
    <w:rsid w:val="006F61CB"/>
    <w:rsid w:val="007016D7"/>
    <w:rsid w:val="0070175C"/>
    <w:rsid w:val="00702D19"/>
    <w:rsid w:val="00702DFF"/>
    <w:rsid w:val="00703C4C"/>
    <w:rsid w:val="007078C8"/>
    <w:rsid w:val="00710B01"/>
    <w:rsid w:val="007145AE"/>
    <w:rsid w:val="00714F67"/>
    <w:rsid w:val="00722F51"/>
    <w:rsid w:val="00724120"/>
    <w:rsid w:val="00725E79"/>
    <w:rsid w:val="007303DD"/>
    <w:rsid w:val="00732DD7"/>
    <w:rsid w:val="00732FD1"/>
    <w:rsid w:val="0073480F"/>
    <w:rsid w:val="00734F97"/>
    <w:rsid w:val="00736CB5"/>
    <w:rsid w:val="007415F5"/>
    <w:rsid w:val="0074550D"/>
    <w:rsid w:val="007504D2"/>
    <w:rsid w:val="007504FB"/>
    <w:rsid w:val="00751428"/>
    <w:rsid w:val="0075284C"/>
    <w:rsid w:val="00753ABB"/>
    <w:rsid w:val="00755FB2"/>
    <w:rsid w:val="0076702E"/>
    <w:rsid w:val="00773056"/>
    <w:rsid w:val="00773C26"/>
    <w:rsid w:val="00780CA6"/>
    <w:rsid w:val="0079195F"/>
    <w:rsid w:val="00791A43"/>
    <w:rsid w:val="007951F4"/>
    <w:rsid w:val="007A347E"/>
    <w:rsid w:val="007A3A58"/>
    <w:rsid w:val="007A4C37"/>
    <w:rsid w:val="007A5F6E"/>
    <w:rsid w:val="007B1B5B"/>
    <w:rsid w:val="007B3B12"/>
    <w:rsid w:val="007B702A"/>
    <w:rsid w:val="007C0290"/>
    <w:rsid w:val="007D09FF"/>
    <w:rsid w:val="007D24DF"/>
    <w:rsid w:val="007D6FB7"/>
    <w:rsid w:val="007D74BC"/>
    <w:rsid w:val="007E0BE4"/>
    <w:rsid w:val="007E731A"/>
    <w:rsid w:val="007F6E0F"/>
    <w:rsid w:val="00801AA3"/>
    <w:rsid w:val="00805914"/>
    <w:rsid w:val="00810977"/>
    <w:rsid w:val="00810FB5"/>
    <w:rsid w:val="00812503"/>
    <w:rsid w:val="0081275D"/>
    <w:rsid w:val="00812A09"/>
    <w:rsid w:val="00812AAF"/>
    <w:rsid w:val="00813F13"/>
    <w:rsid w:val="00814017"/>
    <w:rsid w:val="0082016F"/>
    <w:rsid w:val="00821B05"/>
    <w:rsid w:val="00823BA8"/>
    <w:rsid w:val="0082406D"/>
    <w:rsid w:val="00827822"/>
    <w:rsid w:val="0083021A"/>
    <w:rsid w:val="00832F65"/>
    <w:rsid w:val="008341DF"/>
    <w:rsid w:val="008347FE"/>
    <w:rsid w:val="008565CC"/>
    <w:rsid w:val="008608E5"/>
    <w:rsid w:val="00861A6B"/>
    <w:rsid w:val="00865901"/>
    <w:rsid w:val="00867B62"/>
    <w:rsid w:val="00880F8F"/>
    <w:rsid w:val="008817B4"/>
    <w:rsid w:val="0088225B"/>
    <w:rsid w:val="0088336B"/>
    <w:rsid w:val="0088389A"/>
    <w:rsid w:val="008851E1"/>
    <w:rsid w:val="00885A33"/>
    <w:rsid w:val="0088774D"/>
    <w:rsid w:val="00892E6D"/>
    <w:rsid w:val="0089310A"/>
    <w:rsid w:val="00894CE1"/>
    <w:rsid w:val="00895524"/>
    <w:rsid w:val="008A1441"/>
    <w:rsid w:val="008A1797"/>
    <w:rsid w:val="008A180B"/>
    <w:rsid w:val="008A43FD"/>
    <w:rsid w:val="008A4F18"/>
    <w:rsid w:val="008A504E"/>
    <w:rsid w:val="008B2139"/>
    <w:rsid w:val="008B2A23"/>
    <w:rsid w:val="008B7531"/>
    <w:rsid w:val="008B7E22"/>
    <w:rsid w:val="008C00BA"/>
    <w:rsid w:val="008C4F25"/>
    <w:rsid w:val="008D0F77"/>
    <w:rsid w:val="008E32D8"/>
    <w:rsid w:val="008E4281"/>
    <w:rsid w:val="008E77FF"/>
    <w:rsid w:val="008F2481"/>
    <w:rsid w:val="008F267B"/>
    <w:rsid w:val="008F6C47"/>
    <w:rsid w:val="00902940"/>
    <w:rsid w:val="00906C56"/>
    <w:rsid w:val="009079B6"/>
    <w:rsid w:val="009101F7"/>
    <w:rsid w:val="009146B3"/>
    <w:rsid w:val="00916C72"/>
    <w:rsid w:val="00921EF5"/>
    <w:rsid w:val="00923C6A"/>
    <w:rsid w:val="00926CF6"/>
    <w:rsid w:val="0093021C"/>
    <w:rsid w:val="00931050"/>
    <w:rsid w:val="00932181"/>
    <w:rsid w:val="009333F8"/>
    <w:rsid w:val="00933E6B"/>
    <w:rsid w:val="009353CA"/>
    <w:rsid w:val="00937389"/>
    <w:rsid w:val="009422F0"/>
    <w:rsid w:val="00945D37"/>
    <w:rsid w:val="00946684"/>
    <w:rsid w:val="009613B4"/>
    <w:rsid w:val="009704BF"/>
    <w:rsid w:val="00972E7A"/>
    <w:rsid w:val="00972F97"/>
    <w:rsid w:val="00975406"/>
    <w:rsid w:val="00976643"/>
    <w:rsid w:val="00976FB4"/>
    <w:rsid w:val="009824CE"/>
    <w:rsid w:val="00982AEE"/>
    <w:rsid w:val="0099009F"/>
    <w:rsid w:val="0099351C"/>
    <w:rsid w:val="00995D21"/>
    <w:rsid w:val="009A67B3"/>
    <w:rsid w:val="009A7FFC"/>
    <w:rsid w:val="009B0566"/>
    <w:rsid w:val="009B0805"/>
    <w:rsid w:val="009B3D9F"/>
    <w:rsid w:val="009B4509"/>
    <w:rsid w:val="009C1F24"/>
    <w:rsid w:val="009C57CD"/>
    <w:rsid w:val="009C6362"/>
    <w:rsid w:val="009C7F64"/>
    <w:rsid w:val="009D1F20"/>
    <w:rsid w:val="009D2570"/>
    <w:rsid w:val="009D5CCE"/>
    <w:rsid w:val="009E1172"/>
    <w:rsid w:val="009E15AD"/>
    <w:rsid w:val="009E4049"/>
    <w:rsid w:val="009E6B5E"/>
    <w:rsid w:val="009E75D6"/>
    <w:rsid w:val="009F773E"/>
    <w:rsid w:val="00A00105"/>
    <w:rsid w:val="00A0672F"/>
    <w:rsid w:val="00A06908"/>
    <w:rsid w:val="00A06AB8"/>
    <w:rsid w:val="00A0718B"/>
    <w:rsid w:val="00A10B9B"/>
    <w:rsid w:val="00A13640"/>
    <w:rsid w:val="00A13BCA"/>
    <w:rsid w:val="00A2027D"/>
    <w:rsid w:val="00A205AF"/>
    <w:rsid w:val="00A20CE9"/>
    <w:rsid w:val="00A21910"/>
    <w:rsid w:val="00A21A11"/>
    <w:rsid w:val="00A2232D"/>
    <w:rsid w:val="00A22817"/>
    <w:rsid w:val="00A2624A"/>
    <w:rsid w:val="00A30202"/>
    <w:rsid w:val="00A32FF7"/>
    <w:rsid w:val="00A3437F"/>
    <w:rsid w:val="00A3536B"/>
    <w:rsid w:val="00A35E9C"/>
    <w:rsid w:val="00A41399"/>
    <w:rsid w:val="00A42CEF"/>
    <w:rsid w:val="00A46372"/>
    <w:rsid w:val="00A55BB8"/>
    <w:rsid w:val="00A57494"/>
    <w:rsid w:val="00A602DB"/>
    <w:rsid w:val="00A60C81"/>
    <w:rsid w:val="00A62CC2"/>
    <w:rsid w:val="00A63021"/>
    <w:rsid w:val="00A64B68"/>
    <w:rsid w:val="00A65BA6"/>
    <w:rsid w:val="00A71EDD"/>
    <w:rsid w:val="00A73ADC"/>
    <w:rsid w:val="00A76C16"/>
    <w:rsid w:val="00A774D6"/>
    <w:rsid w:val="00A776FB"/>
    <w:rsid w:val="00A80877"/>
    <w:rsid w:val="00A81516"/>
    <w:rsid w:val="00A81A33"/>
    <w:rsid w:val="00A8471F"/>
    <w:rsid w:val="00A847A0"/>
    <w:rsid w:val="00A86574"/>
    <w:rsid w:val="00A93093"/>
    <w:rsid w:val="00A93643"/>
    <w:rsid w:val="00AA23AD"/>
    <w:rsid w:val="00AA3BBC"/>
    <w:rsid w:val="00AA532D"/>
    <w:rsid w:val="00AA558E"/>
    <w:rsid w:val="00AA7499"/>
    <w:rsid w:val="00AB5CC6"/>
    <w:rsid w:val="00AB6667"/>
    <w:rsid w:val="00AB709C"/>
    <w:rsid w:val="00AC1418"/>
    <w:rsid w:val="00AC23CF"/>
    <w:rsid w:val="00AC5761"/>
    <w:rsid w:val="00AC72AA"/>
    <w:rsid w:val="00AD46B5"/>
    <w:rsid w:val="00AE0923"/>
    <w:rsid w:val="00AE1EEA"/>
    <w:rsid w:val="00AE48CF"/>
    <w:rsid w:val="00AE54B2"/>
    <w:rsid w:val="00AE760A"/>
    <w:rsid w:val="00AF1530"/>
    <w:rsid w:val="00AF28EE"/>
    <w:rsid w:val="00AF7079"/>
    <w:rsid w:val="00B031FF"/>
    <w:rsid w:val="00B03244"/>
    <w:rsid w:val="00B0703D"/>
    <w:rsid w:val="00B12F88"/>
    <w:rsid w:val="00B13A80"/>
    <w:rsid w:val="00B1519C"/>
    <w:rsid w:val="00B16CD5"/>
    <w:rsid w:val="00B16FF7"/>
    <w:rsid w:val="00B17D27"/>
    <w:rsid w:val="00B23972"/>
    <w:rsid w:val="00B25A6D"/>
    <w:rsid w:val="00B261E3"/>
    <w:rsid w:val="00B3394D"/>
    <w:rsid w:val="00B36242"/>
    <w:rsid w:val="00B378FD"/>
    <w:rsid w:val="00B4666D"/>
    <w:rsid w:val="00B51920"/>
    <w:rsid w:val="00B56285"/>
    <w:rsid w:val="00B57401"/>
    <w:rsid w:val="00B61BCD"/>
    <w:rsid w:val="00B62B20"/>
    <w:rsid w:val="00B70054"/>
    <w:rsid w:val="00B71FB7"/>
    <w:rsid w:val="00B73060"/>
    <w:rsid w:val="00B7524E"/>
    <w:rsid w:val="00B75FC7"/>
    <w:rsid w:val="00B766C3"/>
    <w:rsid w:val="00B767BC"/>
    <w:rsid w:val="00B82EB2"/>
    <w:rsid w:val="00B8326D"/>
    <w:rsid w:val="00B87411"/>
    <w:rsid w:val="00B87F83"/>
    <w:rsid w:val="00B91A47"/>
    <w:rsid w:val="00B924A6"/>
    <w:rsid w:val="00B94A24"/>
    <w:rsid w:val="00BA1E44"/>
    <w:rsid w:val="00BA322F"/>
    <w:rsid w:val="00BA43E5"/>
    <w:rsid w:val="00BB3604"/>
    <w:rsid w:val="00BB3ED7"/>
    <w:rsid w:val="00BC4859"/>
    <w:rsid w:val="00BD1D5F"/>
    <w:rsid w:val="00BD1F9D"/>
    <w:rsid w:val="00BD284C"/>
    <w:rsid w:val="00BD2C95"/>
    <w:rsid w:val="00BD4B10"/>
    <w:rsid w:val="00BD7E7D"/>
    <w:rsid w:val="00BE04AC"/>
    <w:rsid w:val="00BE0954"/>
    <w:rsid w:val="00BE1103"/>
    <w:rsid w:val="00BE2644"/>
    <w:rsid w:val="00BE2D93"/>
    <w:rsid w:val="00BE43A0"/>
    <w:rsid w:val="00BE5E33"/>
    <w:rsid w:val="00BE7BEB"/>
    <w:rsid w:val="00BF0322"/>
    <w:rsid w:val="00BF1776"/>
    <w:rsid w:val="00BF4CC9"/>
    <w:rsid w:val="00C03599"/>
    <w:rsid w:val="00C03E5F"/>
    <w:rsid w:val="00C04C8F"/>
    <w:rsid w:val="00C140ED"/>
    <w:rsid w:val="00C16E80"/>
    <w:rsid w:val="00C22B07"/>
    <w:rsid w:val="00C24B0B"/>
    <w:rsid w:val="00C25B49"/>
    <w:rsid w:val="00C269EC"/>
    <w:rsid w:val="00C304BB"/>
    <w:rsid w:val="00C34DE2"/>
    <w:rsid w:val="00C35B95"/>
    <w:rsid w:val="00C36AE0"/>
    <w:rsid w:val="00C37050"/>
    <w:rsid w:val="00C40614"/>
    <w:rsid w:val="00C42FB3"/>
    <w:rsid w:val="00C44BEF"/>
    <w:rsid w:val="00C51A83"/>
    <w:rsid w:val="00C539D4"/>
    <w:rsid w:val="00C53F00"/>
    <w:rsid w:val="00C6035A"/>
    <w:rsid w:val="00C65E68"/>
    <w:rsid w:val="00C706E4"/>
    <w:rsid w:val="00C73987"/>
    <w:rsid w:val="00C7589E"/>
    <w:rsid w:val="00C76EE9"/>
    <w:rsid w:val="00C82653"/>
    <w:rsid w:val="00C84EB4"/>
    <w:rsid w:val="00C86B9B"/>
    <w:rsid w:val="00C87DBF"/>
    <w:rsid w:val="00C954F0"/>
    <w:rsid w:val="00CA32D9"/>
    <w:rsid w:val="00CA3562"/>
    <w:rsid w:val="00CA57F6"/>
    <w:rsid w:val="00CA5C37"/>
    <w:rsid w:val="00CB0562"/>
    <w:rsid w:val="00CB596D"/>
    <w:rsid w:val="00CC3D77"/>
    <w:rsid w:val="00CC3E61"/>
    <w:rsid w:val="00CC43D0"/>
    <w:rsid w:val="00CC7E0E"/>
    <w:rsid w:val="00CD50D9"/>
    <w:rsid w:val="00CE027F"/>
    <w:rsid w:val="00CE19BF"/>
    <w:rsid w:val="00CF1D48"/>
    <w:rsid w:val="00CF2A5C"/>
    <w:rsid w:val="00D041E6"/>
    <w:rsid w:val="00D0486F"/>
    <w:rsid w:val="00D0583E"/>
    <w:rsid w:val="00D07824"/>
    <w:rsid w:val="00D126E1"/>
    <w:rsid w:val="00D13928"/>
    <w:rsid w:val="00D15200"/>
    <w:rsid w:val="00D179E2"/>
    <w:rsid w:val="00D17EB2"/>
    <w:rsid w:val="00D233F0"/>
    <w:rsid w:val="00D30918"/>
    <w:rsid w:val="00D340BD"/>
    <w:rsid w:val="00D34637"/>
    <w:rsid w:val="00D34A84"/>
    <w:rsid w:val="00D35D8E"/>
    <w:rsid w:val="00D42DF7"/>
    <w:rsid w:val="00D45195"/>
    <w:rsid w:val="00D45626"/>
    <w:rsid w:val="00D56056"/>
    <w:rsid w:val="00D65190"/>
    <w:rsid w:val="00D65EE1"/>
    <w:rsid w:val="00D668A8"/>
    <w:rsid w:val="00D70997"/>
    <w:rsid w:val="00D73E58"/>
    <w:rsid w:val="00D76685"/>
    <w:rsid w:val="00D805C9"/>
    <w:rsid w:val="00D86119"/>
    <w:rsid w:val="00D9237D"/>
    <w:rsid w:val="00D93504"/>
    <w:rsid w:val="00D96A91"/>
    <w:rsid w:val="00D97A9A"/>
    <w:rsid w:val="00DA13DD"/>
    <w:rsid w:val="00DA13EA"/>
    <w:rsid w:val="00DA146B"/>
    <w:rsid w:val="00DA27B4"/>
    <w:rsid w:val="00DA3863"/>
    <w:rsid w:val="00DA44A2"/>
    <w:rsid w:val="00DA44B2"/>
    <w:rsid w:val="00DB008B"/>
    <w:rsid w:val="00DB779A"/>
    <w:rsid w:val="00DC0485"/>
    <w:rsid w:val="00DC0F2A"/>
    <w:rsid w:val="00DC1BA9"/>
    <w:rsid w:val="00DC534A"/>
    <w:rsid w:val="00DD1E94"/>
    <w:rsid w:val="00DD4441"/>
    <w:rsid w:val="00DD51F9"/>
    <w:rsid w:val="00DD62CA"/>
    <w:rsid w:val="00DD7164"/>
    <w:rsid w:val="00DD7981"/>
    <w:rsid w:val="00DE136F"/>
    <w:rsid w:val="00DE3C7B"/>
    <w:rsid w:val="00DE58E7"/>
    <w:rsid w:val="00DF0F93"/>
    <w:rsid w:val="00DF38D4"/>
    <w:rsid w:val="00DF64BC"/>
    <w:rsid w:val="00DF6C90"/>
    <w:rsid w:val="00DF6DF8"/>
    <w:rsid w:val="00E15395"/>
    <w:rsid w:val="00E228B3"/>
    <w:rsid w:val="00E238A3"/>
    <w:rsid w:val="00E23F36"/>
    <w:rsid w:val="00E25D4D"/>
    <w:rsid w:val="00E32838"/>
    <w:rsid w:val="00E32946"/>
    <w:rsid w:val="00E32A36"/>
    <w:rsid w:val="00E3692D"/>
    <w:rsid w:val="00E4363B"/>
    <w:rsid w:val="00E45780"/>
    <w:rsid w:val="00E45849"/>
    <w:rsid w:val="00E45D7A"/>
    <w:rsid w:val="00E472B7"/>
    <w:rsid w:val="00E530E3"/>
    <w:rsid w:val="00E548CA"/>
    <w:rsid w:val="00E55C27"/>
    <w:rsid w:val="00E613BC"/>
    <w:rsid w:val="00E629BD"/>
    <w:rsid w:val="00E636C4"/>
    <w:rsid w:val="00E642FC"/>
    <w:rsid w:val="00E64BF5"/>
    <w:rsid w:val="00E653BB"/>
    <w:rsid w:val="00E709FB"/>
    <w:rsid w:val="00E7429B"/>
    <w:rsid w:val="00E74BB6"/>
    <w:rsid w:val="00E75FD2"/>
    <w:rsid w:val="00E81C55"/>
    <w:rsid w:val="00E83C87"/>
    <w:rsid w:val="00E87B34"/>
    <w:rsid w:val="00E9016F"/>
    <w:rsid w:val="00E93F61"/>
    <w:rsid w:val="00E94194"/>
    <w:rsid w:val="00E942F7"/>
    <w:rsid w:val="00E97282"/>
    <w:rsid w:val="00EA2207"/>
    <w:rsid w:val="00EA3AC4"/>
    <w:rsid w:val="00EA531D"/>
    <w:rsid w:val="00EA7138"/>
    <w:rsid w:val="00EB0162"/>
    <w:rsid w:val="00EB04CA"/>
    <w:rsid w:val="00EB2BFB"/>
    <w:rsid w:val="00EB3F57"/>
    <w:rsid w:val="00EC088F"/>
    <w:rsid w:val="00EC14BC"/>
    <w:rsid w:val="00EC2E16"/>
    <w:rsid w:val="00EC7737"/>
    <w:rsid w:val="00ED1BED"/>
    <w:rsid w:val="00EE0879"/>
    <w:rsid w:val="00EE2276"/>
    <w:rsid w:val="00EE228B"/>
    <w:rsid w:val="00EE24E2"/>
    <w:rsid w:val="00EE3F29"/>
    <w:rsid w:val="00EE658F"/>
    <w:rsid w:val="00EF1DB7"/>
    <w:rsid w:val="00EF64CA"/>
    <w:rsid w:val="00F04B5E"/>
    <w:rsid w:val="00F05D3A"/>
    <w:rsid w:val="00F11B42"/>
    <w:rsid w:val="00F13381"/>
    <w:rsid w:val="00F14967"/>
    <w:rsid w:val="00F15F90"/>
    <w:rsid w:val="00F21613"/>
    <w:rsid w:val="00F2206F"/>
    <w:rsid w:val="00F239CE"/>
    <w:rsid w:val="00F262E8"/>
    <w:rsid w:val="00F26608"/>
    <w:rsid w:val="00F330C5"/>
    <w:rsid w:val="00F3647A"/>
    <w:rsid w:val="00F36644"/>
    <w:rsid w:val="00F371CC"/>
    <w:rsid w:val="00F41051"/>
    <w:rsid w:val="00F4285F"/>
    <w:rsid w:val="00F447B0"/>
    <w:rsid w:val="00F55A03"/>
    <w:rsid w:val="00F6279B"/>
    <w:rsid w:val="00F62BA8"/>
    <w:rsid w:val="00F62BAD"/>
    <w:rsid w:val="00F63DAC"/>
    <w:rsid w:val="00F66225"/>
    <w:rsid w:val="00F701F7"/>
    <w:rsid w:val="00F72508"/>
    <w:rsid w:val="00F75B25"/>
    <w:rsid w:val="00F83C70"/>
    <w:rsid w:val="00F97025"/>
    <w:rsid w:val="00F97505"/>
    <w:rsid w:val="00FA2B51"/>
    <w:rsid w:val="00FA6DB6"/>
    <w:rsid w:val="00FB2C6D"/>
    <w:rsid w:val="00FB44BF"/>
    <w:rsid w:val="00FB52D1"/>
    <w:rsid w:val="00FB5A36"/>
    <w:rsid w:val="00FB679B"/>
    <w:rsid w:val="00FC3FEE"/>
    <w:rsid w:val="00FD03E6"/>
    <w:rsid w:val="00FD0AF5"/>
    <w:rsid w:val="00FD6953"/>
    <w:rsid w:val="00FE525A"/>
    <w:rsid w:val="00FE64C6"/>
    <w:rsid w:val="00FF4449"/>
    <w:rsid w:val="00FF4967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D"/>
  </w:style>
  <w:style w:type="paragraph" w:styleId="1">
    <w:name w:val="heading 1"/>
    <w:basedOn w:val="a"/>
    <w:next w:val="a"/>
    <w:qFormat/>
    <w:rsid w:val="00C140E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140E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140ED"/>
    <w:pPr>
      <w:keepNext/>
      <w:tabs>
        <w:tab w:val="left" w:pos="9180"/>
      </w:tabs>
      <w:ind w:right="224"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C140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40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140E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C140ED"/>
    <w:pPr>
      <w:keepNext/>
      <w:ind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140ED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C140ED"/>
    <w:pPr>
      <w:keepNext/>
      <w:ind w:left="4500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40ED"/>
    <w:pPr>
      <w:jc w:val="center"/>
    </w:pPr>
    <w:rPr>
      <w:b/>
      <w:i/>
      <w:sz w:val="28"/>
    </w:rPr>
  </w:style>
  <w:style w:type="paragraph" w:styleId="a4">
    <w:name w:val="Body Text"/>
    <w:basedOn w:val="a"/>
    <w:semiHidden/>
    <w:rsid w:val="00C140ED"/>
    <w:pPr>
      <w:jc w:val="both"/>
    </w:pPr>
    <w:rPr>
      <w:sz w:val="24"/>
      <w:szCs w:val="24"/>
    </w:rPr>
  </w:style>
  <w:style w:type="paragraph" w:styleId="21">
    <w:name w:val="Body Text 2"/>
    <w:basedOn w:val="a"/>
    <w:semiHidden/>
    <w:rsid w:val="00C140ED"/>
    <w:pPr>
      <w:jc w:val="center"/>
    </w:pPr>
    <w:rPr>
      <w:b/>
      <w:sz w:val="28"/>
    </w:rPr>
  </w:style>
  <w:style w:type="paragraph" w:styleId="30">
    <w:name w:val="Body Text 3"/>
    <w:basedOn w:val="a"/>
    <w:link w:val="31"/>
    <w:semiHidden/>
    <w:rsid w:val="00C140ED"/>
    <w:pPr>
      <w:jc w:val="both"/>
    </w:pPr>
    <w:rPr>
      <w:sz w:val="28"/>
    </w:rPr>
  </w:style>
  <w:style w:type="paragraph" w:customStyle="1" w:styleId="Oaeno">
    <w:name w:val="Oaeno"/>
    <w:basedOn w:val="a"/>
    <w:rsid w:val="00C140ED"/>
    <w:pPr>
      <w:widowControl w:val="0"/>
    </w:pPr>
    <w:rPr>
      <w:rFonts w:ascii="Courier New" w:hAnsi="Courier New"/>
    </w:rPr>
  </w:style>
  <w:style w:type="paragraph" w:styleId="a5">
    <w:name w:val="Subtitle"/>
    <w:basedOn w:val="a"/>
    <w:qFormat/>
    <w:rsid w:val="00C140ED"/>
    <w:rPr>
      <w:sz w:val="28"/>
    </w:rPr>
  </w:style>
  <w:style w:type="paragraph" w:styleId="22">
    <w:name w:val="Body Text Indent 2"/>
    <w:basedOn w:val="a"/>
    <w:semiHidden/>
    <w:rsid w:val="00C140ED"/>
    <w:pPr>
      <w:spacing w:after="120" w:line="480" w:lineRule="auto"/>
      <w:ind w:left="283"/>
    </w:pPr>
  </w:style>
  <w:style w:type="paragraph" w:styleId="32">
    <w:name w:val="Body Text Indent 3"/>
    <w:basedOn w:val="a"/>
    <w:semiHidden/>
    <w:rsid w:val="00C140ED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semiHidden/>
    <w:rsid w:val="00C140ED"/>
    <w:pPr>
      <w:spacing w:after="120"/>
      <w:ind w:left="283"/>
    </w:pPr>
  </w:style>
  <w:style w:type="paragraph" w:customStyle="1" w:styleId="10">
    <w:name w:val="Стиль1"/>
    <w:basedOn w:val="a4"/>
    <w:rsid w:val="00C140ED"/>
    <w:pPr>
      <w:ind w:firstLine="720"/>
    </w:pPr>
    <w:rPr>
      <w:sz w:val="28"/>
    </w:rPr>
  </w:style>
  <w:style w:type="character" w:styleId="a7">
    <w:name w:val="page number"/>
    <w:basedOn w:val="a0"/>
    <w:semiHidden/>
    <w:rsid w:val="00C140ED"/>
  </w:style>
  <w:style w:type="paragraph" w:styleId="a8">
    <w:name w:val="header"/>
    <w:basedOn w:val="a"/>
    <w:semiHidden/>
    <w:rsid w:val="00C140E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C140E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C140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1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14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b">
    <w:name w:val="Hyperlink"/>
    <w:semiHidden/>
    <w:rsid w:val="00C140ED"/>
    <w:rPr>
      <w:color w:val="0000FF"/>
      <w:u w:val="single"/>
    </w:rPr>
  </w:style>
  <w:style w:type="character" w:customStyle="1" w:styleId="ac">
    <w:name w:val="Гипертекстовая ссылка"/>
    <w:rsid w:val="00C140ED"/>
    <w:rPr>
      <w:color w:val="008000"/>
      <w:szCs w:val="20"/>
      <w:u w:val="single"/>
    </w:rPr>
  </w:style>
  <w:style w:type="character" w:customStyle="1" w:styleId="ad">
    <w:name w:val="Основной текст Знак"/>
    <w:rsid w:val="00C140ED"/>
    <w:rPr>
      <w:sz w:val="24"/>
      <w:szCs w:val="24"/>
      <w:lang w:val="ru-RU" w:eastAsia="ru-RU" w:bidi="ar-SA"/>
    </w:rPr>
  </w:style>
  <w:style w:type="paragraph" w:customStyle="1" w:styleId="ae">
    <w:name w:val="Комментарий"/>
    <w:basedOn w:val="a"/>
    <w:next w:val="a"/>
    <w:rsid w:val="00C140E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">
    <w:name w:val="Document Map"/>
    <w:basedOn w:val="a"/>
    <w:semiHidden/>
    <w:rsid w:val="00C140ED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C140E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Normal (Web)"/>
    <w:basedOn w:val="a"/>
    <w:semiHidden/>
    <w:rsid w:val="00C140ED"/>
    <w:pPr>
      <w:ind w:firstLine="360"/>
      <w:jc w:val="both"/>
    </w:pPr>
    <w:rPr>
      <w:rFonts w:ascii="Arial" w:hAnsi="Arial" w:cs="Arial"/>
      <w:color w:val="FFFFFF"/>
    </w:rPr>
  </w:style>
  <w:style w:type="paragraph" w:customStyle="1" w:styleId="ConsPlusTitle">
    <w:name w:val="ConsPlusTitle"/>
    <w:rsid w:val="00C140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140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7B1B5B"/>
    <w:rPr>
      <w:b/>
      <w:sz w:val="28"/>
    </w:rPr>
  </w:style>
  <w:style w:type="character" w:customStyle="1" w:styleId="31">
    <w:name w:val="Основной текст 3 Знак"/>
    <w:link w:val="30"/>
    <w:semiHidden/>
    <w:rsid w:val="007B1B5B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12A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2A5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C0747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714F67"/>
    <w:rPr>
      <w:sz w:val="24"/>
      <w:szCs w:val="24"/>
    </w:rPr>
  </w:style>
  <w:style w:type="table" w:styleId="af4">
    <w:name w:val="Table Grid"/>
    <w:basedOn w:val="a1"/>
    <w:uiPriority w:val="59"/>
    <w:rsid w:val="00D9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08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rsid w:val="000248FA"/>
    <w:pPr>
      <w:keepLines/>
      <w:jc w:val="both"/>
    </w:pPr>
    <w:rPr>
      <w:sz w:val="28"/>
    </w:rPr>
  </w:style>
  <w:style w:type="paragraph" w:styleId="af5">
    <w:name w:val="No Spacing"/>
    <w:uiPriority w:val="1"/>
    <w:qFormat/>
    <w:rsid w:val="009E15AD"/>
    <w:rPr>
      <w:rFonts w:ascii="Calibri" w:eastAsia="Calibri" w:hAnsi="Calibri"/>
      <w:sz w:val="22"/>
      <w:szCs w:val="22"/>
      <w:lang w:eastAsia="en-US"/>
    </w:rPr>
  </w:style>
  <w:style w:type="table" w:customStyle="1" w:styleId="40">
    <w:name w:val="Сетка таблицы4"/>
    <w:basedOn w:val="a1"/>
    <w:next w:val="af4"/>
    <w:uiPriority w:val="59"/>
    <w:rsid w:val="00F63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2025 год</c:v>
                </c:pt>
                <c:pt idx="1">
                  <c:v>2024 год</c:v>
                </c:pt>
                <c:pt idx="2">
                  <c:v>2023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5668</c:v>
                </c:pt>
                <c:pt idx="1">
                  <c:v>5306</c:v>
                </c:pt>
                <c:pt idx="2">
                  <c:v>5192</c:v>
                </c:pt>
                <c:pt idx="3">
                  <c:v>5001.8999999999996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2025 год</c:v>
                </c:pt>
                <c:pt idx="1">
                  <c:v>2024 год</c:v>
                </c:pt>
                <c:pt idx="2">
                  <c:v>2023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491.5</c:v>
                </c:pt>
                <c:pt idx="1">
                  <c:v>491.9</c:v>
                </c:pt>
                <c:pt idx="2">
                  <c:v>491.9</c:v>
                </c:pt>
                <c:pt idx="3">
                  <c:v>250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2025 год</c:v>
                </c:pt>
                <c:pt idx="1">
                  <c:v>2024 год</c:v>
                </c:pt>
                <c:pt idx="2">
                  <c:v>2023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9086.16</c:v>
                </c:pt>
                <c:pt idx="1">
                  <c:v>9010.8799999999992</c:v>
                </c:pt>
                <c:pt idx="2">
                  <c:v>15392.26</c:v>
                </c:pt>
                <c:pt idx="3">
                  <c:v>15886.4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684544"/>
        <c:axId val="208686080"/>
      </c:barChart>
      <c:catAx>
        <c:axId val="208684544"/>
        <c:scaling>
          <c:orientation val="minMax"/>
        </c:scaling>
        <c:delete val="0"/>
        <c:axPos val="l"/>
        <c:majorTickMark val="out"/>
        <c:minorTickMark val="none"/>
        <c:tickLblPos val="nextTo"/>
        <c:crossAx val="208686080"/>
        <c:crosses val="autoZero"/>
        <c:auto val="1"/>
        <c:lblAlgn val="ctr"/>
        <c:lblOffset val="100"/>
        <c:noMultiLvlLbl val="0"/>
      </c:catAx>
      <c:valAx>
        <c:axId val="208686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868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6049-D2B8-4349-9E2B-46C60C33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АГАПОВСКОГО МУНИЦИПАЛЬНОГО РАЙОНА</vt:lpstr>
    </vt:vector>
  </TitlesOfParts>
  <Company>SPecialiST RePack</Company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АГАПОВСКОГО МУНИЦИПАЛЬНОГО РАЙОНА</dc:title>
  <dc:creator>User</dc:creator>
  <cp:lastModifiedBy>Zinchenko</cp:lastModifiedBy>
  <cp:revision>48</cp:revision>
  <cp:lastPrinted>2022-12-13T11:02:00Z</cp:lastPrinted>
  <dcterms:created xsi:type="dcterms:W3CDTF">2021-12-03T04:06:00Z</dcterms:created>
  <dcterms:modified xsi:type="dcterms:W3CDTF">2022-12-13T11:05:00Z</dcterms:modified>
</cp:coreProperties>
</file>