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47" w:rsidRDefault="00160447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</w:p>
    <w:p w:rsidR="004C6CF5" w:rsidRPr="004C6CF5" w:rsidRDefault="00EC7468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4.3pt;width:1in;height:81pt;z-index:251659264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732453489" r:id="rId10"/>
        </w:pict>
      </w:r>
      <w:r w:rsidR="006D1643">
        <w:rPr>
          <w:rFonts w:ascii="Times New Roman" w:eastAsia="Times New Roman" w:hAnsi="Times New Roman" w:cs="Times New Roman"/>
          <w:b/>
          <w:szCs w:val="19"/>
          <w:lang w:eastAsia="ru-RU"/>
        </w:rPr>
        <w:t xml:space="preserve">                                                              </w:t>
      </w:r>
    </w:p>
    <w:p w:rsidR="004C6CF5" w:rsidRPr="004C6CF5" w:rsidRDefault="004C6CF5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– СЧЕТНАЯ   ПАЛАТА</w:t>
      </w:r>
    </w:p>
    <w:p w:rsidR="004C6CF5" w:rsidRPr="004C6CF5" w:rsidRDefault="004C6CF5" w:rsidP="004C6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АГАПОВСКОГО МУНИЦИПАЛЬНОГО РАЙОНА </w:t>
      </w:r>
    </w:p>
    <w:p w:rsidR="004C6CF5" w:rsidRPr="004C6CF5" w:rsidRDefault="004C6CF5" w:rsidP="004C6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457400  с. Агаповка, ул. Пролетарская, 29А, тел: 2-11-37, 2-14-36</w:t>
      </w:r>
    </w:p>
    <w:p w:rsidR="00C83645" w:rsidRDefault="00C83645" w:rsidP="004C6CF5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F5" w:rsidRPr="004C6CF5" w:rsidRDefault="004C6CF5" w:rsidP="004C6CF5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4C6CF5" w:rsidRDefault="004C6CF5" w:rsidP="004C6C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F5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A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="009F5FB9" w:rsidRPr="000D3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741C7" w:rsidRPr="000D3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BB2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83645" w:rsidRPr="00C33237" w:rsidRDefault="00C83645" w:rsidP="004C6C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19"/>
          <w:lang w:eastAsia="ru-RU"/>
        </w:rPr>
      </w:pPr>
    </w:p>
    <w:p w:rsidR="004C6CF5" w:rsidRPr="004C6CF5" w:rsidRDefault="004C6CF5" w:rsidP="004C6CF5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</w:p>
    <w:p w:rsidR="004C6CF5" w:rsidRPr="004C6CF5" w:rsidRDefault="004C6CF5" w:rsidP="004C6C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 решения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депутатов </w:t>
      </w:r>
      <w:r w:rsidR="0087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сельского поселения 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Агаповского муниципального района Челябинской области</w:t>
      </w:r>
    </w:p>
    <w:p w:rsidR="004C6CF5" w:rsidRDefault="004C6CF5" w:rsidP="004C6C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бюджете </w:t>
      </w:r>
      <w:r w:rsidR="00875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сельского поселения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17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B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D124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504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</w:t>
      </w:r>
      <w:r w:rsidR="0017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B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04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B2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C6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годов».</w:t>
      </w:r>
    </w:p>
    <w:p w:rsidR="009F5FB9" w:rsidRDefault="009F5FB9" w:rsidP="004C6C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FB9" w:rsidRPr="009F5FB9" w:rsidRDefault="001F5DC0" w:rsidP="009F5F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8D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="009F5FB9" w:rsidRPr="009F5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B2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F5FB9" w:rsidRPr="009F5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4C6CF5" w:rsidRDefault="004C6CF5" w:rsidP="004C6CF5">
      <w:pPr>
        <w:spacing w:after="0" w:line="240" w:lineRule="auto"/>
        <w:rPr>
          <w:rFonts w:ascii="Times New Roman" w:eastAsia="Times New Roman" w:hAnsi="Times New Roman" w:cs="Times New Roman"/>
          <w:szCs w:val="19"/>
          <w:lang w:eastAsia="ru-RU"/>
        </w:rPr>
      </w:pPr>
    </w:p>
    <w:p w:rsidR="003D0D07" w:rsidRDefault="003D0D07" w:rsidP="003D0D07">
      <w:pPr>
        <w:pStyle w:val="af8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3D0D07">
        <w:rPr>
          <w:b/>
          <w:sz w:val="28"/>
          <w:szCs w:val="28"/>
        </w:rPr>
        <w:t>Общие положения.</w:t>
      </w:r>
    </w:p>
    <w:p w:rsidR="00C83645" w:rsidRPr="003D0D07" w:rsidRDefault="00C83645" w:rsidP="00C83645">
      <w:pPr>
        <w:pStyle w:val="af8"/>
        <w:rPr>
          <w:b/>
          <w:sz w:val="28"/>
          <w:szCs w:val="28"/>
        </w:rPr>
      </w:pPr>
    </w:p>
    <w:p w:rsidR="003B00E5" w:rsidRPr="003B00E5" w:rsidRDefault="004C6CF5" w:rsidP="003B00E5">
      <w:pPr>
        <w:pStyle w:val="12"/>
        <w:rPr>
          <w:szCs w:val="28"/>
        </w:rPr>
      </w:pPr>
      <w:proofErr w:type="gramStart"/>
      <w:r w:rsidRPr="004C6CF5">
        <w:rPr>
          <w:szCs w:val="28"/>
        </w:rPr>
        <w:t xml:space="preserve">Заключение на проект решения Совета депутатов </w:t>
      </w:r>
      <w:r w:rsidR="00875261">
        <w:rPr>
          <w:szCs w:val="28"/>
        </w:rPr>
        <w:t>Магнитн</w:t>
      </w:r>
      <w:r w:rsidRPr="004C6CF5">
        <w:rPr>
          <w:szCs w:val="28"/>
        </w:rPr>
        <w:t>ого сельского поселения Агаповского муниципального района Челябинской области</w:t>
      </w:r>
      <w:r w:rsidR="0036280E">
        <w:rPr>
          <w:szCs w:val="28"/>
        </w:rPr>
        <w:t xml:space="preserve"> </w:t>
      </w:r>
      <w:r w:rsidRPr="004C6CF5">
        <w:rPr>
          <w:szCs w:val="28"/>
        </w:rPr>
        <w:t xml:space="preserve">«О бюджете </w:t>
      </w:r>
      <w:r w:rsidR="00875261">
        <w:rPr>
          <w:szCs w:val="28"/>
        </w:rPr>
        <w:t>Магнитн</w:t>
      </w:r>
      <w:r w:rsidRPr="004C6CF5">
        <w:rPr>
          <w:szCs w:val="28"/>
        </w:rPr>
        <w:t xml:space="preserve">ого сельского поселения на </w:t>
      </w:r>
      <w:r w:rsidR="001741C7">
        <w:rPr>
          <w:szCs w:val="28"/>
        </w:rPr>
        <w:t>202</w:t>
      </w:r>
      <w:r w:rsidR="00BB263C">
        <w:rPr>
          <w:szCs w:val="28"/>
        </w:rPr>
        <w:t>3</w:t>
      </w:r>
      <w:r w:rsidR="0061012F">
        <w:rPr>
          <w:szCs w:val="28"/>
        </w:rPr>
        <w:t xml:space="preserve"> год</w:t>
      </w:r>
      <w:r w:rsidR="00504D9A">
        <w:rPr>
          <w:szCs w:val="28"/>
        </w:rPr>
        <w:t xml:space="preserve"> и на плановый период </w:t>
      </w:r>
      <w:r w:rsidR="001741C7">
        <w:rPr>
          <w:szCs w:val="28"/>
        </w:rPr>
        <w:t>202</w:t>
      </w:r>
      <w:r w:rsidR="00BB263C">
        <w:rPr>
          <w:szCs w:val="28"/>
        </w:rPr>
        <w:t>4</w:t>
      </w:r>
      <w:r w:rsidR="00504D9A">
        <w:rPr>
          <w:szCs w:val="28"/>
        </w:rPr>
        <w:t xml:space="preserve"> и </w:t>
      </w:r>
      <w:r w:rsidR="001741C7">
        <w:rPr>
          <w:szCs w:val="28"/>
        </w:rPr>
        <w:t>202</w:t>
      </w:r>
      <w:r w:rsidR="00BB263C">
        <w:rPr>
          <w:szCs w:val="28"/>
        </w:rPr>
        <w:t>5</w:t>
      </w:r>
      <w:r w:rsidRPr="004C6CF5">
        <w:rPr>
          <w:szCs w:val="28"/>
        </w:rPr>
        <w:t xml:space="preserve"> годов»</w:t>
      </w:r>
      <w:r w:rsidR="00957ECA">
        <w:rPr>
          <w:szCs w:val="28"/>
        </w:rPr>
        <w:t xml:space="preserve"> (проект решения)</w:t>
      </w:r>
      <w:r w:rsidRPr="004C6CF5">
        <w:rPr>
          <w:szCs w:val="28"/>
        </w:rPr>
        <w:t xml:space="preserve"> подготовлено в соответствии с требованиями Бюджетного кодекса Российской Федерации (БК РФ), </w:t>
      </w:r>
      <w:r w:rsidR="00697901" w:rsidRPr="00697901">
        <w:rPr>
          <w:szCs w:val="28"/>
        </w:rPr>
        <w:t>решением</w:t>
      </w:r>
      <w:r w:rsidRPr="00697901">
        <w:rPr>
          <w:szCs w:val="28"/>
        </w:rPr>
        <w:t xml:space="preserve"> С</w:t>
      </w:r>
      <w:r w:rsidR="00697901" w:rsidRPr="00697901">
        <w:rPr>
          <w:szCs w:val="28"/>
        </w:rPr>
        <w:t>овета</w:t>
      </w:r>
      <w:r w:rsidRPr="00697901">
        <w:rPr>
          <w:szCs w:val="28"/>
        </w:rPr>
        <w:t xml:space="preserve"> депутатов </w:t>
      </w:r>
      <w:r w:rsidR="00875261">
        <w:rPr>
          <w:szCs w:val="28"/>
        </w:rPr>
        <w:t>Магнитн</w:t>
      </w:r>
      <w:r w:rsidR="00697901" w:rsidRPr="00697901">
        <w:rPr>
          <w:szCs w:val="28"/>
        </w:rPr>
        <w:t>ого сельского поселения</w:t>
      </w:r>
      <w:r w:rsidRPr="00697901">
        <w:rPr>
          <w:szCs w:val="28"/>
        </w:rPr>
        <w:t xml:space="preserve"> от </w:t>
      </w:r>
      <w:r w:rsidR="00D71570">
        <w:rPr>
          <w:szCs w:val="28"/>
        </w:rPr>
        <w:t>28.09</w:t>
      </w:r>
      <w:r w:rsidR="00697901" w:rsidRPr="00697901">
        <w:rPr>
          <w:szCs w:val="28"/>
        </w:rPr>
        <w:t>.2018</w:t>
      </w:r>
      <w:r w:rsidRPr="00697901">
        <w:rPr>
          <w:szCs w:val="28"/>
        </w:rPr>
        <w:t xml:space="preserve"> г. № </w:t>
      </w:r>
      <w:r w:rsidR="00D71570">
        <w:rPr>
          <w:szCs w:val="28"/>
        </w:rPr>
        <w:t>80</w:t>
      </w:r>
      <w:r w:rsidR="00697901" w:rsidRPr="00697901">
        <w:rPr>
          <w:szCs w:val="28"/>
        </w:rPr>
        <w:t xml:space="preserve"> «Об утверждении Положения «О бюджетном процессе в</w:t>
      </w:r>
      <w:proofErr w:type="gramEnd"/>
      <w:r w:rsidR="00697901" w:rsidRPr="00697901">
        <w:rPr>
          <w:szCs w:val="28"/>
        </w:rPr>
        <w:t xml:space="preserve"> </w:t>
      </w:r>
      <w:proofErr w:type="gramStart"/>
      <w:r w:rsidR="00875261">
        <w:rPr>
          <w:szCs w:val="28"/>
        </w:rPr>
        <w:t>Магнитн</w:t>
      </w:r>
      <w:r w:rsidR="00697901" w:rsidRPr="00697901">
        <w:rPr>
          <w:szCs w:val="28"/>
        </w:rPr>
        <w:t>ом сельском поселении Агаповского муниципального района Челябинской области</w:t>
      </w:r>
      <w:r w:rsidR="003B00E5">
        <w:rPr>
          <w:szCs w:val="28"/>
        </w:rPr>
        <w:t>»</w:t>
      </w:r>
      <w:r w:rsidR="00957ECA">
        <w:rPr>
          <w:szCs w:val="28"/>
        </w:rPr>
        <w:t xml:space="preserve"> (далее – Положение </w:t>
      </w:r>
      <w:r w:rsidR="00214B79">
        <w:rPr>
          <w:szCs w:val="28"/>
        </w:rPr>
        <w:t>«О</w:t>
      </w:r>
      <w:r w:rsidR="00957ECA">
        <w:rPr>
          <w:szCs w:val="28"/>
        </w:rPr>
        <w:t xml:space="preserve"> бюджетном процессе в Магнитном сельском поселении</w:t>
      </w:r>
      <w:r w:rsidR="00214B79">
        <w:rPr>
          <w:szCs w:val="28"/>
        </w:rPr>
        <w:t>»</w:t>
      </w:r>
      <w:r w:rsidR="00957ECA">
        <w:rPr>
          <w:szCs w:val="28"/>
        </w:rPr>
        <w:t>)</w:t>
      </w:r>
      <w:r w:rsidR="003B00E5">
        <w:rPr>
          <w:szCs w:val="28"/>
        </w:rPr>
        <w:t xml:space="preserve">, </w:t>
      </w:r>
      <w:r w:rsidR="003B00E5" w:rsidRPr="003B00E5">
        <w:rPr>
          <w:szCs w:val="28"/>
        </w:rPr>
        <w:t xml:space="preserve">решением Совета депутатов </w:t>
      </w:r>
      <w:r w:rsidR="003B00E5">
        <w:rPr>
          <w:szCs w:val="28"/>
        </w:rPr>
        <w:t>Магнитного</w:t>
      </w:r>
      <w:r w:rsidR="003B00E5" w:rsidRPr="003B00E5">
        <w:rPr>
          <w:szCs w:val="28"/>
        </w:rPr>
        <w:t xml:space="preserve"> сельского поселения Агаповского муниципального района </w:t>
      </w:r>
      <w:r w:rsidR="003B00E5" w:rsidRPr="004C6CF5">
        <w:rPr>
          <w:color w:val="000000"/>
          <w:szCs w:val="28"/>
        </w:rPr>
        <w:t xml:space="preserve">от </w:t>
      </w:r>
      <w:r w:rsidR="003B00E5">
        <w:rPr>
          <w:color w:val="000000"/>
          <w:szCs w:val="28"/>
        </w:rPr>
        <w:t xml:space="preserve">23.01.2017 </w:t>
      </w:r>
      <w:r w:rsidR="003B00E5" w:rsidRPr="004C6CF5">
        <w:rPr>
          <w:color w:val="000000"/>
          <w:szCs w:val="28"/>
        </w:rPr>
        <w:t>года</w:t>
      </w:r>
      <w:r w:rsidR="00D12489">
        <w:rPr>
          <w:color w:val="000000"/>
          <w:szCs w:val="28"/>
        </w:rPr>
        <w:t xml:space="preserve"> № 47</w:t>
      </w:r>
      <w:r w:rsidR="003B00E5" w:rsidRPr="003B00E5">
        <w:rPr>
          <w:szCs w:val="28"/>
        </w:rPr>
        <w:t xml:space="preserve"> «О передаче части полномочий по осуществлению внешнего муниципального финансового контроля Контрольно-счетной палате Агаповского муниципального района». </w:t>
      </w:r>
      <w:proofErr w:type="gramEnd"/>
    </w:p>
    <w:p w:rsidR="00957ECA" w:rsidRPr="004C6CF5" w:rsidRDefault="00957ECA" w:rsidP="00957E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Проанализированы материалы и документы, представленные на экспертизу 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Магнитного сельского поселения на 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CF5" w:rsidRPr="004C6CF5" w:rsidRDefault="004C6CF5" w:rsidP="004C6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заключения были использованы следующие документы и материалы:</w:t>
      </w:r>
    </w:p>
    <w:p w:rsidR="004C6CF5" w:rsidRPr="009F0A6B" w:rsidRDefault="004C6CF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03B65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403B65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«О бюджете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403B65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4D9A" w:rsidRPr="001741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04D9A" w:rsidRPr="009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</w:t>
      </w:r>
      <w:r w:rsidR="001741C7" w:rsidRPr="009F0A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 w:rsidRPr="009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 w:rsidRPr="009F0A6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3B65" w:rsidRPr="009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9F0A6B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приложениями)»;</w:t>
      </w:r>
    </w:p>
    <w:p w:rsidR="00403B65" w:rsidRPr="001741C7" w:rsidRDefault="00403B6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направления налоговой политики и основные направления бюджетной политики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9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7EC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65" w:rsidRPr="006615CC" w:rsidRDefault="00403B6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04D9A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Магнитного сельского поселения на </w:t>
      </w:r>
      <w:r w:rsidR="001741C7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4D9A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957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4D9A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="001741C7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504D9A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3B65" w:rsidRPr="00240917" w:rsidRDefault="00403B6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итоги социально-экономического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 сельского поселения</w:t>
      </w:r>
      <w:r w:rsidRP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D1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год;</w:t>
      </w:r>
    </w:p>
    <w:p w:rsidR="00403B65" w:rsidRPr="001741C7" w:rsidRDefault="00403B6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основных характеристик: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доходов, общий объем расходов, дефицита (профицита) бюджета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4D9A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 </w:t>
      </w:r>
    </w:p>
    <w:p w:rsidR="00403B65" w:rsidRPr="001741C7" w:rsidRDefault="00403B6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решения о бюджете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4D9A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03B65" w:rsidRPr="00073635" w:rsidRDefault="00403B6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долга </w:t>
      </w:r>
      <w:r w:rsidR="00875261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01.01.</w:t>
      </w:r>
      <w:r w:rsidR="001741C7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57EC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EC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01.01.</w:t>
      </w:r>
      <w:r w:rsidR="001741C7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57EC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EC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01.01.202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57EC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02D0A"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702D0A" w:rsidRPr="001741C7" w:rsidRDefault="00702D0A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долгосрочный период до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02D0A" w:rsidRPr="001741C7" w:rsidRDefault="00702D0A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источников доходов бюджета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4D9A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5B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702D0A" w:rsidRPr="001741C7" w:rsidRDefault="00702D0A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муниципальной программы «Развитие местного самоуправления и решение вопросов местного значения в </w:t>
      </w:r>
      <w:r w:rsidR="00875261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</w:t>
      </w:r>
      <w:r w:rsidR="00680616"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2D0A" w:rsidRDefault="00702D0A" w:rsidP="00702D0A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 w:rsidRPr="001741C7">
        <w:rPr>
          <w:sz w:val="28"/>
          <w:szCs w:val="28"/>
        </w:rPr>
        <w:t xml:space="preserve">оценка ожидаемого исполнения бюджета </w:t>
      </w:r>
      <w:r w:rsidR="00875261" w:rsidRPr="001741C7">
        <w:rPr>
          <w:sz w:val="28"/>
          <w:szCs w:val="28"/>
        </w:rPr>
        <w:t>Магнитн</w:t>
      </w:r>
      <w:r w:rsidRPr="001741C7">
        <w:rPr>
          <w:sz w:val="28"/>
          <w:szCs w:val="28"/>
        </w:rPr>
        <w:t xml:space="preserve">ого сельского поселения </w:t>
      </w:r>
      <w:r w:rsidR="00E54D4B">
        <w:rPr>
          <w:sz w:val="28"/>
          <w:szCs w:val="28"/>
        </w:rPr>
        <w:t>н</w:t>
      </w:r>
      <w:r w:rsidRPr="001741C7">
        <w:rPr>
          <w:sz w:val="28"/>
          <w:szCs w:val="28"/>
        </w:rPr>
        <w:t xml:space="preserve">а </w:t>
      </w:r>
      <w:r w:rsidR="001741C7">
        <w:rPr>
          <w:sz w:val="28"/>
          <w:szCs w:val="28"/>
        </w:rPr>
        <w:t>202</w:t>
      </w:r>
      <w:r w:rsidR="00BF5B74">
        <w:rPr>
          <w:sz w:val="28"/>
          <w:szCs w:val="28"/>
        </w:rPr>
        <w:t>2</w:t>
      </w:r>
      <w:r w:rsidRPr="001741C7">
        <w:rPr>
          <w:sz w:val="28"/>
          <w:szCs w:val="28"/>
        </w:rPr>
        <w:t xml:space="preserve"> год;</w:t>
      </w:r>
    </w:p>
    <w:p w:rsidR="00982AD2" w:rsidRPr="00982AD2" w:rsidRDefault="00982AD2" w:rsidP="00982AD2">
      <w:pPr>
        <w:pStyle w:val="af8"/>
        <w:numPr>
          <w:ilvl w:val="0"/>
          <w:numId w:val="1"/>
        </w:numPr>
        <w:jc w:val="both"/>
        <w:rPr>
          <w:sz w:val="28"/>
          <w:szCs w:val="28"/>
        </w:rPr>
      </w:pPr>
      <w:r w:rsidRPr="00982AD2">
        <w:rPr>
          <w:sz w:val="28"/>
          <w:szCs w:val="28"/>
        </w:rPr>
        <w:t>методики (проекты методик) и расчеты распределения межбюджетных трансфертов не представлены, по причине отсутствия межбюджетных трансфертов, предоставляемых другим бюджетам;</w:t>
      </w:r>
    </w:p>
    <w:p w:rsidR="00992846" w:rsidRPr="00073635" w:rsidRDefault="00992846" w:rsidP="0099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межбюджетных трансфертов, предоставляемых в соответствии с решением Совета депутатов Магнитного сельского поселения из бюджета поселения бюджету Агаповского муниципального района на осуществление части полномочий сельского поселения по благоустройству территории сельского поселения;</w:t>
      </w:r>
    </w:p>
    <w:p w:rsidR="00992846" w:rsidRPr="00E942C7" w:rsidRDefault="00E942C7" w:rsidP="0099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="0057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Магнитного сельского поселения </w:t>
      </w:r>
      <w:r w:rsidRPr="00E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утверждения перечней </w:t>
      </w:r>
      <w:r w:rsidR="00992846" w:rsidRPr="00E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доходов бюджета и </w:t>
      </w:r>
      <w:r w:rsidR="00992846" w:rsidRPr="00E9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proofErr w:type="gramStart"/>
      <w:r w:rsidR="00992846" w:rsidRPr="00E9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</w:t>
      </w:r>
      <w:r w:rsidR="00F5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Магнитного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846" w:rsidRPr="00E94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846" w:rsidRPr="00BB6390" w:rsidRDefault="00992846" w:rsidP="0099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BF">
        <w:rPr>
          <w:rFonts w:ascii="Times New Roman" w:hAnsi="Times New Roman" w:cs="Times New Roman"/>
          <w:sz w:val="28"/>
          <w:szCs w:val="28"/>
        </w:rPr>
        <w:t>решени</w:t>
      </w:r>
      <w:r w:rsidR="00760EE5">
        <w:rPr>
          <w:rFonts w:ascii="Times New Roman" w:hAnsi="Times New Roman" w:cs="Times New Roman"/>
          <w:sz w:val="28"/>
          <w:szCs w:val="28"/>
        </w:rPr>
        <w:t>я</w:t>
      </w:r>
      <w:r w:rsidRPr="00DE00B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Магнитн</w:t>
      </w:r>
      <w:r w:rsidRPr="00DE00BF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982AD2">
        <w:rPr>
          <w:rFonts w:ascii="Times New Roman" w:hAnsi="Times New Roman" w:cs="Times New Roman"/>
          <w:sz w:val="28"/>
          <w:szCs w:val="28"/>
        </w:rPr>
        <w:t xml:space="preserve"> от 31.05.2022г. №52</w:t>
      </w:r>
      <w:r w:rsidR="00760EE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Магнитного сельского поселения от 28.04.2010 года № 17</w:t>
      </w:r>
      <w:r w:rsidRPr="00DE00BF">
        <w:rPr>
          <w:rFonts w:ascii="Times New Roman" w:hAnsi="Times New Roman" w:cs="Times New Roman"/>
          <w:sz w:val="28"/>
          <w:szCs w:val="28"/>
        </w:rPr>
        <w:t xml:space="preserve"> «Об </w:t>
      </w:r>
      <w:r w:rsidR="00760EE5">
        <w:rPr>
          <w:rFonts w:ascii="Times New Roman" w:hAnsi="Times New Roman" w:cs="Times New Roman"/>
          <w:sz w:val="28"/>
          <w:szCs w:val="28"/>
        </w:rPr>
        <w:t xml:space="preserve">оплате </w:t>
      </w:r>
      <w:r w:rsidRPr="00DE00BF">
        <w:rPr>
          <w:rFonts w:ascii="Times New Roman" w:hAnsi="Times New Roman" w:cs="Times New Roman"/>
          <w:sz w:val="28"/>
          <w:szCs w:val="28"/>
        </w:rPr>
        <w:t xml:space="preserve">труда депутатов, выборных должностных лиц местного самоуправления, </w:t>
      </w:r>
      <w:r w:rsidRPr="00DE00BF">
        <w:rPr>
          <w:rFonts w:ascii="Times New Roman" w:hAnsi="Times New Roman" w:cs="Times New Roman"/>
          <w:sz w:val="28"/>
          <w:szCs w:val="28"/>
        </w:rPr>
        <w:lastRenderedPageBreak/>
        <w:t>осуществляющих свои полномочия на постоянной основе</w:t>
      </w:r>
      <w:r w:rsidR="00760EE5">
        <w:rPr>
          <w:rFonts w:ascii="Times New Roman" w:hAnsi="Times New Roman" w:cs="Times New Roman"/>
          <w:sz w:val="28"/>
          <w:szCs w:val="28"/>
        </w:rPr>
        <w:t>,</w:t>
      </w:r>
      <w:r w:rsidRPr="00DE00BF">
        <w:rPr>
          <w:rFonts w:ascii="Times New Roman" w:hAnsi="Times New Roman" w:cs="Times New Roman"/>
          <w:sz w:val="28"/>
          <w:szCs w:val="28"/>
        </w:rPr>
        <w:t xml:space="preserve">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Магнитн</w:t>
      </w:r>
      <w:r w:rsidRPr="00DE00BF">
        <w:rPr>
          <w:rFonts w:ascii="Times New Roman" w:hAnsi="Times New Roman" w:cs="Times New Roman"/>
          <w:sz w:val="28"/>
          <w:szCs w:val="28"/>
        </w:rPr>
        <w:t>ого сельского поселения»;</w:t>
      </w:r>
    </w:p>
    <w:p w:rsidR="00992846" w:rsidRPr="00985B91" w:rsidRDefault="00992846" w:rsidP="0099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Магнитного сельского поселения от </w:t>
      </w:r>
      <w:r w:rsidR="00985B91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</w:t>
      </w: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85B91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</w:t>
      </w:r>
      <w:r w:rsidR="00F820B6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Магнитного сельского поселения Агаповского муниципального района</w:t>
      </w:r>
      <w:r w:rsidR="00985B91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06.02.2020г. № 08</w:t>
      </w: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работников, занимающих должности, не отнесенные к должностям муниципальной службы и осуществляющих техническое обеспечение деятельности </w:t>
      </w:r>
      <w:r w:rsidR="00FD56E0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Магнитного сельского поселения»;</w:t>
      </w:r>
      <w:proofErr w:type="gramEnd"/>
    </w:p>
    <w:p w:rsidR="00992846" w:rsidRPr="00985B91" w:rsidRDefault="00992846" w:rsidP="009928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Магнитного сельского поселения от </w:t>
      </w:r>
      <w:r w:rsidR="00985B91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30.06.2022</w:t>
      </w: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85B91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Магнитного сельского поселения</w:t>
      </w:r>
      <w:r w:rsidR="00985B91"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 от 06.02.2020 г.  № 07</w:t>
      </w:r>
      <w:r w:rsidRPr="0098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работников, занятых обслуживанием органов местного самоуправления Администрации Магнитного сельского поселения»;</w:t>
      </w:r>
    </w:p>
    <w:p w:rsidR="00122FC5" w:rsidRPr="006615CC" w:rsidRDefault="00122FC5" w:rsidP="00403B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расходных обязательств </w:t>
      </w:r>
      <w:r w:rsidR="00875261"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661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4C6CF5" w:rsidRPr="00025C34" w:rsidRDefault="004C6CF5" w:rsidP="004C6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82A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82A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82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</w:t>
      </w:r>
      <w:r w:rsid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Проект, 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4C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 </w:t>
      </w:r>
      <w:r w:rsidR="006101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D3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350A4" w:rsidRPr="004678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50A4" w:rsidRPr="0068061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350A4" w:rsidRPr="00025C34">
        <w:rPr>
          <w:rFonts w:ascii="Times New Roman" w:hAnsi="Times New Roman" w:cs="Times New Roman"/>
          <w:sz w:val="28"/>
          <w:szCs w:val="28"/>
        </w:rPr>
        <w:t xml:space="preserve">соглашением о передачи части полномочий по осуществлению внешнего муниципального финансового контроля № </w:t>
      </w:r>
      <w:r w:rsidR="003E2486">
        <w:rPr>
          <w:rFonts w:ascii="Times New Roman" w:hAnsi="Times New Roman" w:cs="Times New Roman"/>
          <w:sz w:val="28"/>
          <w:szCs w:val="28"/>
        </w:rPr>
        <w:t>47</w:t>
      </w:r>
      <w:r w:rsidR="00D350A4" w:rsidRPr="00025C34">
        <w:rPr>
          <w:rFonts w:ascii="Times New Roman" w:hAnsi="Times New Roman" w:cs="Times New Roman"/>
          <w:sz w:val="28"/>
          <w:szCs w:val="28"/>
        </w:rPr>
        <w:t xml:space="preserve"> от </w:t>
      </w:r>
      <w:r w:rsidR="003E2486">
        <w:rPr>
          <w:rFonts w:ascii="Times New Roman" w:hAnsi="Times New Roman" w:cs="Times New Roman"/>
          <w:sz w:val="28"/>
          <w:szCs w:val="28"/>
        </w:rPr>
        <w:t>23</w:t>
      </w:r>
      <w:r w:rsidR="00D350A4" w:rsidRPr="00025C34">
        <w:rPr>
          <w:rFonts w:ascii="Times New Roman" w:hAnsi="Times New Roman" w:cs="Times New Roman"/>
          <w:sz w:val="28"/>
          <w:szCs w:val="28"/>
        </w:rPr>
        <w:t>.01.201</w:t>
      </w:r>
      <w:r w:rsidR="003E2486">
        <w:rPr>
          <w:rFonts w:ascii="Times New Roman" w:hAnsi="Times New Roman" w:cs="Times New Roman"/>
          <w:sz w:val="28"/>
          <w:szCs w:val="28"/>
        </w:rPr>
        <w:t>7</w:t>
      </w:r>
      <w:r w:rsidR="00D350A4" w:rsidRPr="00025C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80E" w:rsidRPr="00D350A4" w:rsidRDefault="0036280E" w:rsidP="00D35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соблюдения сроков внесения Проекта на рассмотрение представительным органом муниципального образования, предусмотренных статьей 185 БК РФ, и сроков представления Проекта, документов и материалов,</w:t>
      </w:r>
      <w:r w:rsidR="00D3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одновременно с ним в Контрольно-счетную палату, </w:t>
      </w:r>
      <w:r w:rsidRPr="00D35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установлено.</w:t>
      </w:r>
    </w:p>
    <w:p w:rsidR="0036280E" w:rsidRPr="007E0CFD" w:rsidRDefault="0036280E" w:rsidP="0036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</w:t>
      </w:r>
      <w:proofErr w:type="gramStart"/>
      <w:r w:rsidRPr="007E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7E0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иложениями</w:t>
      </w:r>
      <w:r w:rsidR="00800032" w:rsidRPr="007E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Pr="007E0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</w:t>
      </w:r>
      <w:r w:rsidR="009F5FB9" w:rsidRPr="007E0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 «Агаповский вестник»</w:t>
      </w:r>
      <w:r w:rsidR="00214B79" w:rsidRPr="007E0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B79" w:rsidRPr="00214B79" w:rsidRDefault="00214B79" w:rsidP="00214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документов и материалов, представленных одновременно с Проектом бюджета, соответствует перечню, установленному статьями 184.1, 184.2 БК РФ и статьями 43 и 45 Положения «О 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Магнитном</w:t>
      </w: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поселении».</w:t>
      </w:r>
    </w:p>
    <w:p w:rsidR="00214B79" w:rsidRDefault="00214B79" w:rsidP="00214B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бюджета составлен сроком на три года (на очередной финансовый год и плановый период), что соответствует требованиям части 4 статьи 169 БК РФ и статье 33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Магнитном</w:t>
      </w: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4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DE8" w:rsidRPr="00DA384C" w:rsidRDefault="00030DE8" w:rsidP="00030D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Проекта основывалось на прогнозе социально-экономического развития Магнитного сельского поселения на 202</w:t>
      </w:r>
      <w:r w:rsidR="00726BB5"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26BB5"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26BB5"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утвержденного постановлением Администрации Магнитного сельского поселения </w:t>
      </w:r>
      <w:r w:rsidR="00726BB5"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6BB5"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726BB5"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26BB5" w:rsidRPr="00DA384C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</w:p>
    <w:p w:rsidR="0036280E" w:rsidRPr="0036280E" w:rsidRDefault="0036280E" w:rsidP="0068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172 БК РФ составление Проекта основывалось также </w:t>
      </w:r>
      <w:proofErr w:type="gramStart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00032" w:rsidRPr="009F5FB9" w:rsidRDefault="0036280E" w:rsidP="009F5FB9">
      <w:pPr>
        <w:pStyle w:val="af8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5FB9">
        <w:rPr>
          <w:sz w:val="28"/>
          <w:szCs w:val="28"/>
        </w:rPr>
        <w:t xml:space="preserve">основных </w:t>
      </w:r>
      <w:proofErr w:type="gramStart"/>
      <w:r w:rsidRPr="009F5FB9">
        <w:rPr>
          <w:sz w:val="28"/>
          <w:szCs w:val="28"/>
        </w:rPr>
        <w:t>направлениях</w:t>
      </w:r>
      <w:proofErr w:type="gramEnd"/>
      <w:r w:rsidRPr="009F5FB9">
        <w:rPr>
          <w:sz w:val="28"/>
          <w:szCs w:val="28"/>
        </w:rPr>
        <w:t xml:space="preserve"> бюджетной и налоговой политики </w:t>
      </w:r>
      <w:r w:rsidR="00875261" w:rsidRPr="009F5FB9">
        <w:rPr>
          <w:sz w:val="28"/>
          <w:szCs w:val="28"/>
        </w:rPr>
        <w:t>Магнитн</w:t>
      </w:r>
      <w:r w:rsidR="007B776D" w:rsidRPr="009F5FB9">
        <w:rPr>
          <w:sz w:val="28"/>
          <w:szCs w:val="28"/>
        </w:rPr>
        <w:t xml:space="preserve">ого сельского поселения </w:t>
      </w:r>
      <w:r w:rsidRPr="009F5FB9">
        <w:rPr>
          <w:sz w:val="28"/>
          <w:szCs w:val="28"/>
        </w:rPr>
        <w:t xml:space="preserve"> </w:t>
      </w:r>
      <w:r w:rsidR="00403B65" w:rsidRPr="009F5FB9">
        <w:rPr>
          <w:sz w:val="28"/>
          <w:szCs w:val="28"/>
        </w:rPr>
        <w:t xml:space="preserve">на </w:t>
      </w:r>
      <w:r w:rsidR="001741C7">
        <w:rPr>
          <w:sz w:val="28"/>
          <w:szCs w:val="28"/>
        </w:rPr>
        <w:t>202</w:t>
      </w:r>
      <w:r w:rsidR="00726BB5">
        <w:rPr>
          <w:sz w:val="28"/>
          <w:szCs w:val="28"/>
        </w:rPr>
        <w:t>3-2025</w:t>
      </w:r>
      <w:r w:rsidR="00030DE8">
        <w:rPr>
          <w:sz w:val="28"/>
          <w:szCs w:val="28"/>
        </w:rPr>
        <w:t xml:space="preserve"> годы</w:t>
      </w:r>
      <w:r w:rsidRPr="009F5FB9">
        <w:rPr>
          <w:sz w:val="28"/>
          <w:szCs w:val="28"/>
        </w:rPr>
        <w:t>;</w:t>
      </w:r>
    </w:p>
    <w:p w:rsidR="0036280E" w:rsidRPr="009F5FB9" w:rsidRDefault="00800032" w:rsidP="009F5FB9">
      <w:pPr>
        <w:pStyle w:val="af8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5FB9">
        <w:rPr>
          <w:sz w:val="28"/>
          <w:szCs w:val="28"/>
        </w:rPr>
        <w:lastRenderedPageBreak/>
        <w:t>бюджетно</w:t>
      </w:r>
      <w:r w:rsidR="006F691D">
        <w:rPr>
          <w:sz w:val="28"/>
          <w:szCs w:val="28"/>
        </w:rPr>
        <w:t>м</w:t>
      </w:r>
      <w:r w:rsidRPr="009F5FB9">
        <w:rPr>
          <w:sz w:val="28"/>
          <w:szCs w:val="28"/>
        </w:rPr>
        <w:t xml:space="preserve"> </w:t>
      </w:r>
      <w:proofErr w:type="gramStart"/>
      <w:r w:rsidRPr="009F5FB9">
        <w:rPr>
          <w:sz w:val="28"/>
          <w:szCs w:val="28"/>
        </w:rPr>
        <w:t>прогноз</w:t>
      </w:r>
      <w:r w:rsidR="006F691D">
        <w:rPr>
          <w:sz w:val="28"/>
          <w:szCs w:val="28"/>
        </w:rPr>
        <w:t>е</w:t>
      </w:r>
      <w:proofErr w:type="gramEnd"/>
      <w:r w:rsidRPr="009F5FB9">
        <w:rPr>
          <w:sz w:val="28"/>
          <w:szCs w:val="28"/>
        </w:rPr>
        <w:t>;</w:t>
      </w:r>
    </w:p>
    <w:p w:rsidR="0036280E" w:rsidRPr="009F5FB9" w:rsidRDefault="0036280E" w:rsidP="009F5FB9">
      <w:pPr>
        <w:pStyle w:val="af8"/>
        <w:numPr>
          <w:ilvl w:val="0"/>
          <w:numId w:val="33"/>
        </w:numPr>
        <w:jc w:val="both"/>
        <w:rPr>
          <w:sz w:val="28"/>
          <w:szCs w:val="28"/>
        </w:rPr>
      </w:pPr>
      <w:r w:rsidRPr="009F5FB9">
        <w:rPr>
          <w:sz w:val="28"/>
          <w:szCs w:val="28"/>
        </w:rPr>
        <w:t>муниципальн</w:t>
      </w:r>
      <w:r w:rsidR="003E2486" w:rsidRPr="009F5FB9">
        <w:rPr>
          <w:sz w:val="28"/>
          <w:szCs w:val="28"/>
        </w:rPr>
        <w:t>ой</w:t>
      </w:r>
      <w:r w:rsidRPr="009F5FB9">
        <w:rPr>
          <w:sz w:val="28"/>
          <w:szCs w:val="28"/>
        </w:rPr>
        <w:t xml:space="preserve"> программ</w:t>
      </w:r>
      <w:r w:rsidR="003E2486" w:rsidRPr="009F5FB9">
        <w:rPr>
          <w:sz w:val="28"/>
          <w:szCs w:val="28"/>
        </w:rPr>
        <w:t>е</w:t>
      </w:r>
      <w:r w:rsidRPr="009F5FB9">
        <w:rPr>
          <w:sz w:val="28"/>
          <w:szCs w:val="28"/>
        </w:rPr>
        <w:t>.</w:t>
      </w:r>
    </w:p>
    <w:p w:rsidR="007B776D" w:rsidRPr="006F691D" w:rsidRDefault="007B776D" w:rsidP="007B7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налоговой политики </w:t>
      </w:r>
      <w:r w:rsidR="00875261" w:rsidRPr="00C33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Pr="00C33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D1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3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полноты собираемости налогов</w:t>
      </w:r>
      <w:r w:rsidR="000C3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налоговых льгот на предстоящий налоговый период не предполагается. Налоговая политика в 202</w:t>
      </w:r>
      <w:r w:rsidR="006706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325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706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нацелена на увеличение уровня собираемости налоговых доходов.</w:t>
      </w:r>
      <w:r w:rsidR="00DA7600" w:rsidRPr="00C3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2FC6" w:rsidRDefault="0036280E" w:rsidP="0071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DA7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периоде направлена на </w:t>
      </w:r>
      <w:r w:rsidR="00B5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роста доходов и </w:t>
      </w:r>
      <w:r w:rsidR="00B51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C3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5164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1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расходов.</w:t>
      </w:r>
    </w:p>
    <w:p w:rsidR="0036280E" w:rsidRPr="0036280E" w:rsidRDefault="00B51641" w:rsidP="00712F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по повышению эффективности бюджетных расходов остаются обеспечение </w:t>
      </w:r>
      <w:r w:rsidR="00E91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имеющихся инструментов программно-целевого управления, создание условий для улучшения качества предоставления муниципальных услуг</w:t>
      </w:r>
      <w:r w:rsidR="0071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остатков средств бюджета </w:t>
      </w:r>
      <w:r w:rsidR="00E9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706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C33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418D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которые направляются на покрытие временных кассовых разрывов, возникающих в ходе исполнения бюджета в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706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77C63" w:rsidRPr="006D57E9" w:rsidRDefault="00C77C63" w:rsidP="00C7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B2114D">
        <w:rPr>
          <w:rFonts w:ascii="Times New Roman" w:hAnsi="Times New Roman" w:cs="Times New Roman"/>
          <w:sz w:val="28"/>
          <w:szCs w:val="28"/>
        </w:rPr>
        <w:t>Магнитного</w:t>
      </w:r>
      <w:r w:rsidRPr="006D57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1B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73635">
        <w:rPr>
          <w:rFonts w:ascii="Times New Roman" w:hAnsi="Times New Roman" w:cs="Times New Roman"/>
          <w:sz w:val="28"/>
          <w:szCs w:val="28"/>
        </w:rPr>
        <w:t xml:space="preserve">требованиям пункта 5 статьи 107 </w:t>
      </w:r>
      <w:r w:rsidRPr="006D57E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установлен:</w:t>
      </w:r>
    </w:p>
    <w:p w:rsidR="00C77C63" w:rsidRPr="006D57E9" w:rsidRDefault="00C77C63" w:rsidP="00C7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на 1 января 202</w:t>
      </w:r>
      <w:r w:rsidR="00C83645">
        <w:rPr>
          <w:rFonts w:ascii="Times New Roman" w:hAnsi="Times New Roman" w:cs="Times New Roman"/>
          <w:sz w:val="28"/>
          <w:szCs w:val="28"/>
        </w:rPr>
        <w:t>4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0600">
        <w:rPr>
          <w:rFonts w:ascii="Times New Roman" w:hAnsi="Times New Roman" w:cs="Times New Roman"/>
          <w:sz w:val="28"/>
          <w:szCs w:val="28"/>
        </w:rPr>
        <w:t>23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C77C63" w:rsidRPr="006D57E9" w:rsidRDefault="00C77C63" w:rsidP="00C7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на 1 января 202</w:t>
      </w:r>
      <w:r w:rsidR="00C83645">
        <w:rPr>
          <w:rFonts w:ascii="Times New Roman" w:hAnsi="Times New Roman" w:cs="Times New Roman"/>
          <w:sz w:val="28"/>
          <w:szCs w:val="28"/>
        </w:rPr>
        <w:t>5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0600">
        <w:rPr>
          <w:rFonts w:ascii="Times New Roman" w:hAnsi="Times New Roman" w:cs="Times New Roman"/>
          <w:sz w:val="28"/>
          <w:szCs w:val="28"/>
        </w:rPr>
        <w:t>27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рублей;</w:t>
      </w:r>
    </w:p>
    <w:p w:rsidR="00C77C63" w:rsidRPr="006D57E9" w:rsidRDefault="00C77C63" w:rsidP="00C7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на 1 января 202</w:t>
      </w:r>
      <w:r w:rsidR="00C83645">
        <w:rPr>
          <w:rFonts w:ascii="Times New Roman" w:hAnsi="Times New Roman" w:cs="Times New Roman"/>
          <w:sz w:val="28"/>
          <w:szCs w:val="28"/>
        </w:rPr>
        <w:t>6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67060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57E9">
        <w:rPr>
          <w:rFonts w:ascii="Times New Roman" w:hAnsi="Times New Roman" w:cs="Times New Roman"/>
          <w:sz w:val="28"/>
          <w:szCs w:val="28"/>
        </w:rPr>
        <w:t>,00 тыс. рублей, в том числе верхний предел долга по муниципальным гарантиям в сумме 0,00 тыс. рублей.</w:t>
      </w:r>
    </w:p>
    <w:p w:rsidR="00C77C63" w:rsidRPr="006D57E9" w:rsidRDefault="00C77C63" w:rsidP="00C7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установлен на 202</w:t>
      </w:r>
      <w:r w:rsidR="00670600">
        <w:rPr>
          <w:rFonts w:ascii="Times New Roman" w:hAnsi="Times New Roman" w:cs="Times New Roman"/>
          <w:sz w:val="28"/>
          <w:szCs w:val="28"/>
        </w:rPr>
        <w:t>3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 тыс. рублей, на 202</w:t>
      </w:r>
      <w:r w:rsidR="00670600">
        <w:rPr>
          <w:rFonts w:ascii="Times New Roman" w:hAnsi="Times New Roman" w:cs="Times New Roman"/>
          <w:sz w:val="28"/>
          <w:szCs w:val="28"/>
        </w:rPr>
        <w:t>4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670600">
        <w:rPr>
          <w:rFonts w:ascii="Times New Roman" w:hAnsi="Times New Roman" w:cs="Times New Roman"/>
          <w:sz w:val="28"/>
          <w:szCs w:val="28"/>
        </w:rPr>
        <w:t>5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C77C63" w:rsidRPr="006D57E9" w:rsidRDefault="00C77C63" w:rsidP="00C7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E9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нормативных обязательств утвержден на 202</w:t>
      </w:r>
      <w:r w:rsidR="00670600">
        <w:rPr>
          <w:rFonts w:ascii="Times New Roman" w:hAnsi="Times New Roman" w:cs="Times New Roman"/>
          <w:sz w:val="28"/>
          <w:szCs w:val="28"/>
        </w:rPr>
        <w:t>3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0600">
        <w:rPr>
          <w:rFonts w:ascii="Times New Roman" w:hAnsi="Times New Roman" w:cs="Times New Roman"/>
          <w:sz w:val="28"/>
          <w:szCs w:val="28"/>
        </w:rPr>
        <w:t>0,00</w:t>
      </w:r>
      <w:r w:rsidRPr="00FE33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57E9">
        <w:rPr>
          <w:rFonts w:ascii="Times New Roman" w:hAnsi="Times New Roman" w:cs="Times New Roman"/>
          <w:sz w:val="28"/>
          <w:szCs w:val="28"/>
        </w:rPr>
        <w:t>, и на плановый период 202</w:t>
      </w:r>
      <w:r w:rsidR="00670600">
        <w:rPr>
          <w:rFonts w:ascii="Times New Roman" w:hAnsi="Times New Roman" w:cs="Times New Roman"/>
          <w:sz w:val="28"/>
          <w:szCs w:val="28"/>
        </w:rPr>
        <w:t>4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 тыс. рублей и 202</w:t>
      </w:r>
      <w:r w:rsidR="00670600">
        <w:rPr>
          <w:rFonts w:ascii="Times New Roman" w:hAnsi="Times New Roman" w:cs="Times New Roman"/>
          <w:sz w:val="28"/>
          <w:szCs w:val="28"/>
        </w:rPr>
        <w:t>5</w:t>
      </w:r>
      <w:r w:rsidRPr="006D57E9">
        <w:rPr>
          <w:rFonts w:ascii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C77C63" w:rsidRDefault="00C77C63" w:rsidP="00C77C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 Приложений № 4, № 5</w:t>
      </w:r>
      <w:r w:rsidRPr="006D57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 202</w:t>
      </w:r>
      <w:r w:rsidR="006706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202</w:t>
      </w:r>
      <w:r w:rsidR="006706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06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предусмотрено предоставление муниципальных гарантий, внутренних и внешних заимствований.</w:t>
      </w:r>
    </w:p>
    <w:p w:rsidR="00C77C63" w:rsidRPr="002B7FD4" w:rsidRDefault="00C77C63" w:rsidP="00C77C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3 статьи 184.1 БК РФ «Общий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</w:t>
      </w:r>
      <w:proofErr w:type="gramEnd"/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</w:t>
      </w:r>
      <w:r w:rsidRPr="002B7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бюджетов бюджетной системы Российской Федерации, имеющих целевое назначение)».</w:t>
      </w:r>
    </w:p>
    <w:p w:rsidR="00C77C63" w:rsidRPr="00073635" w:rsidRDefault="00C77C63" w:rsidP="00C77C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условно утверждённых расходов, предусмотренных в Проекте, установлен на 202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147,10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202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объеме 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319,00</w:t>
      </w:r>
      <w:r w:rsidRPr="0007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соответствует требованиям части 3 статьи 184.1 БК РФ.</w:t>
      </w:r>
    </w:p>
    <w:p w:rsidR="00EC464F" w:rsidRDefault="0036280E" w:rsidP="00EF18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сформированы по программному принципу. Всего в 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202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запланирована </w:t>
      </w:r>
      <w:r w:rsidR="00680616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</w:t>
      </w:r>
      <w:r w:rsidR="00680616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1110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16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местного самоуправления и решение вопросов местного значения в </w:t>
      </w:r>
      <w:r w:rsidR="00875261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680616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</w:t>
      </w:r>
      <w:r w:rsidR="0046259C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</w:t>
      </w:r>
      <w:r w:rsidR="00680616" w:rsidRPr="009F5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утвержденная постановлением администрации Магнитного сельского поселения от </w:t>
      </w:r>
      <w:r w:rsidR="00E67FB2" w:rsidRPr="00D24F6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7FB2" w:rsidRPr="00D24F6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7FB2" w:rsidRPr="00D2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24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</w:t>
      </w:r>
      <w:r w:rsidR="00EF18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подпрограммы:</w:t>
      </w:r>
    </w:p>
    <w:p w:rsidR="009F5FB9" w:rsidRPr="00C65B38" w:rsidRDefault="009F5FB9" w:rsidP="00EF186F">
      <w:pPr>
        <w:numPr>
          <w:ilvl w:val="0"/>
          <w:numId w:val="32"/>
        </w:numPr>
        <w:tabs>
          <w:tab w:val="left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управление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Магнитном</w:t>
      </w: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района.</w:t>
      </w:r>
    </w:p>
    <w:p w:rsidR="009F5FB9" w:rsidRDefault="009F5FB9" w:rsidP="00EF186F">
      <w:pPr>
        <w:numPr>
          <w:ilvl w:val="0"/>
          <w:numId w:val="32"/>
        </w:numPr>
        <w:tabs>
          <w:tab w:val="left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обслуживание населения, содержание и безопасность территори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</w:t>
      </w: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района.</w:t>
      </w:r>
    </w:p>
    <w:p w:rsidR="00EF186F" w:rsidRPr="00C65B38" w:rsidRDefault="00EF186F" w:rsidP="00EF186F">
      <w:pPr>
        <w:numPr>
          <w:ilvl w:val="0"/>
          <w:numId w:val="32"/>
        </w:numPr>
        <w:tabs>
          <w:tab w:val="left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систем коммунальной инфраструктуры и дорожного хозяйства в Магнитном сельском поселении Агаповского муниципального района».</w:t>
      </w:r>
    </w:p>
    <w:p w:rsidR="009F5FB9" w:rsidRDefault="009F5FB9" w:rsidP="00EF186F">
      <w:pPr>
        <w:numPr>
          <w:ilvl w:val="0"/>
          <w:numId w:val="32"/>
        </w:numPr>
        <w:tabs>
          <w:tab w:val="left" w:pos="709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массового спорта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Магнитном </w:t>
      </w:r>
      <w:r w:rsidRPr="00C65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B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Агаповского муниципального района</w:t>
      </w:r>
      <w:r w:rsidRPr="0003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ACB" w:rsidRPr="006615CC" w:rsidRDefault="00034ACB" w:rsidP="00EF186F">
      <w:pPr>
        <w:pStyle w:val="af8"/>
        <w:spacing w:line="276" w:lineRule="auto"/>
        <w:ind w:left="0" w:firstLine="709"/>
        <w:jc w:val="both"/>
        <w:rPr>
          <w:sz w:val="28"/>
          <w:szCs w:val="28"/>
        </w:rPr>
      </w:pPr>
      <w:r w:rsidRPr="006615CC">
        <w:rPr>
          <w:sz w:val="28"/>
          <w:szCs w:val="28"/>
        </w:rPr>
        <w:t>Проведена оценка эффективности муниципальной  программы за 20</w:t>
      </w:r>
      <w:r>
        <w:rPr>
          <w:sz w:val="28"/>
          <w:szCs w:val="28"/>
        </w:rPr>
        <w:t>2</w:t>
      </w:r>
      <w:r w:rsidR="00373A15">
        <w:rPr>
          <w:sz w:val="28"/>
          <w:szCs w:val="28"/>
        </w:rPr>
        <w:t>1</w:t>
      </w:r>
      <w:r w:rsidRPr="006615CC">
        <w:rPr>
          <w:sz w:val="28"/>
          <w:szCs w:val="28"/>
        </w:rPr>
        <w:t xml:space="preserve"> год, в соответствии с  пунктом 3 статьи 179 БК РФ.</w:t>
      </w:r>
    </w:p>
    <w:p w:rsidR="0036280E" w:rsidRDefault="0036280E" w:rsidP="00EF18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</w:t>
      </w:r>
      <w:r w:rsidR="00D24F6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направления</w:t>
      </w:r>
      <w:r w:rsidR="00BA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E67F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3-2025</w:t>
      </w:r>
      <w:r w:rsidR="00E6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67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предусмотрены.</w:t>
      </w:r>
    </w:p>
    <w:p w:rsidR="00034ACB" w:rsidRDefault="00034ACB" w:rsidP="00EF186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бюджету Агаповского муниципального района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</w:t>
      </w: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в 202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32025 </w:t>
      </w: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73A1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1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запланированы.</w:t>
      </w:r>
    </w:p>
    <w:p w:rsidR="00C83645" w:rsidRDefault="00C83645" w:rsidP="00EF186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0E" w:rsidRDefault="0036280E" w:rsidP="003D0D07">
      <w:pPr>
        <w:pStyle w:val="af8"/>
        <w:numPr>
          <w:ilvl w:val="0"/>
          <w:numId w:val="35"/>
        </w:numPr>
        <w:jc w:val="center"/>
        <w:rPr>
          <w:b/>
          <w:bCs/>
          <w:sz w:val="28"/>
          <w:szCs w:val="28"/>
        </w:rPr>
      </w:pPr>
      <w:r w:rsidRPr="003D0D07">
        <w:rPr>
          <w:b/>
          <w:bCs/>
          <w:sz w:val="28"/>
          <w:szCs w:val="28"/>
        </w:rPr>
        <w:t>Д</w:t>
      </w:r>
      <w:r w:rsidR="003D0D07">
        <w:rPr>
          <w:b/>
          <w:bCs/>
          <w:sz w:val="28"/>
          <w:szCs w:val="28"/>
        </w:rPr>
        <w:t>оходная часть бюджета Магнитного сельского поселения.</w:t>
      </w:r>
    </w:p>
    <w:p w:rsidR="00C83645" w:rsidRDefault="00C83645" w:rsidP="00160447">
      <w:pPr>
        <w:pStyle w:val="af8"/>
        <w:rPr>
          <w:b/>
          <w:bCs/>
          <w:sz w:val="28"/>
          <w:szCs w:val="28"/>
        </w:rPr>
      </w:pPr>
    </w:p>
    <w:p w:rsidR="0036280E" w:rsidRPr="0036280E" w:rsidRDefault="0036280E" w:rsidP="00EF186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="00426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7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по доходам в сумме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17 191,80</w:t>
      </w:r>
      <w:r w:rsidR="0013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15 712,50 </w:t>
      </w:r>
      <w:r w:rsidR="0013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47,75</w:t>
      </w:r>
      <w:r w:rsidRPr="00DE3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</w:t>
      </w:r>
      <w:r w:rsidR="00142D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Проекта </w:t>
      </w:r>
      <w:r w:rsidR="0013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3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32 904,32</w:t>
      </w:r>
      <w:r w:rsidR="0013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собственные доходы составили в сумме</w:t>
      </w:r>
      <w:r w:rsidR="00D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2 476,00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116,14</w:t>
      </w:r>
      <w:r w:rsidR="00D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уровня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безвозмездные поступления от других бюджетов бюджетной системы РФ в</w:t>
      </w:r>
      <w:proofErr w:type="gramEnd"/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14 715,80</w:t>
      </w:r>
      <w:r w:rsidR="0013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6F15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8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6280E" w:rsidRPr="0036280E" w:rsidRDefault="0036280E" w:rsidP="00EF18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</w:t>
      </w:r>
      <w:r w:rsidR="00E90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F15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по доходам в сумме 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6 376,70</w:t>
      </w:r>
      <w:r w:rsidR="00ED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C07DB8">
        <w:rPr>
          <w:rFonts w:ascii="Times New Roman" w:eastAsia="Times New Roman" w:hAnsi="Times New Roman" w:cs="Times New Roman"/>
          <w:sz w:val="28"/>
          <w:szCs w:val="28"/>
          <w:lang w:eastAsia="ru-RU"/>
        </w:rPr>
        <w:t>6 890,08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соответственно.</w:t>
      </w:r>
    </w:p>
    <w:p w:rsidR="0036280E" w:rsidRPr="0036280E" w:rsidRDefault="0036280E" w:rsidP="00E97EC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Структура доходов Проекта бюджета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сравнении с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имеет следующий вид</w:t>
      </w:r>
      <w:r w:rsidR="00E9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7EC7" w:rsidRPr="00E97EC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97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280E" w:rsidRPr="0036280E" w:rsidRDefault="0036280E" w:rsidP="00362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4EA2B3" wp14:editId="56C45CB8">
            <wp:extent cx="5486400" cy="2876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0447" w:rsidRDefault="00160447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0E" w:rsidRPr="0036280E" w:rsidRDefault="006842CD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бюджета</w:t>
      </w:r>
      <w:r w:rsidR="005D2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25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значительной мере сформированы за счет </w:t>
      </w:r>
      <w:r w:rsidR="00EC46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14715,80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доля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85,60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Собственные доходы в проекте бюджета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2 476,00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доходах бюджета составляет 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14,40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по доходам 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D20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A5D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представлены в таблице</w:t>
      </w:r>
      <w:r w:rsidR="000D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7D6E7E" w:rsidRPr="00663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ADC" w:rsidRPr="000D3ADC" w:rsidRDefault="000D3ADC" w:rsidP="000D3A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36280E" w:rsidRPr="000D3ADC" w:rsidRDefault="0036280E" w:rsidP="000D3A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7"/>
        <w:gridCol w:w="1135"/>
        <w:gridCol w:w="1134"/>
        <w:gridCol w:w="1283"/>
        <w:gridCol w:w="1276"/>
        <w:gridCol w:w="1126"/>
      </w:tblGrid>
      <w:tr w:rsidR="005B4149" w:rsidRPr="005B4149" w:rsidTr="00E97EC7">
        <w:trPr>
          <w:trHeight w:val="7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4149" w:rsidRPr="005B4149" w:rsidRDefault="005B4149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Вид дохода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4149" w:rsidRPr="005B4149" w:rsidRDefault="009A5DA2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  <w:t>2022</w:t>
            </w:r>
            <w:r w:rsidR="005B4149" w:rsidRPr="005B4149">
              <w:rPr>
                <w:rFonts w:ascii="Times New Roman" w:eastAsia="Times New Roman" w:hAnsi="Times New Roman" w:cs="Times New Roman"/>
                <w:b/>
                <w:bCs/>
                <w:lang w:eastAsia="ja-JP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B4149" w:rsidRPr="005B4149" w:rsidRDefault="005B4149" w:rsidP="009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9A5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149" w:rsidRPr="005B4149" w:rsidRDefault="005B4149" w:rsidP="009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9A5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149" w:rsidRPr="005B4149" w:rsidRDefault="005B4149" w:rsidP="009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9A5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149" w:rsidRPr="005B4149" w:rsidRDefault="009A5DA2" w:rsidP="009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2023</w:t>
            </w:r>
            <w:r w:rsidR="00692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  <w:r w:rsidR="005B4149"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% от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="005B4149"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</w:t>
            </w:r>
            <w:r w:rsidR="00692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4149" w:rsidRPr="005B4149" w:rsidRDefault="005B4149" w:rsidP="009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9A5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="00692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% от 202</w:t>
            </w:r>
            <w:r w:rsidR="009A5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="00692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г.</w:t>
            </w:r>
          </w:p>
        </w:tc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4149" w:rsidRPr="005B4149" w:rsidRDefault="005B4149" w:rsidP="009A5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9A5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5</w:t>
            </w:r>
            <w:r w:rsidR="00692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  <w:r w:rsidR="009A5D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% от 2022</w:t>
            </w:r>
            <w:r w:rsidR="006922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г.</w:t>
            </w:r>
          </w:p>
        </w:tc>
      </w:tr>
      <w:tr w:rsidR="009A5DA2" w:rsidRPr="005B4149" w:rsidTr="00E97EC7">
        <w:trPr>
          <w:trHeight w:val="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DA2" w:rsidRPr="005B4149" w:rsidRDefault="009A5DA2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A2">
              <w:rPr>
                <w:rFonts w:ascii="Times New Roman" w:hAnsi="Times New Roman" w:cs="Times New Roman"/>
                <w:b/>
              </w:rPr>
              <w:t>2 132,00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A2">
              <w:rPr>
                <w:rFonts w:ascii="Times New Roman" w:hAnsi="Times New Roman" w:cs="Times New Roman"/>
                <w:b/>
              </w:rPr>
              <w:t>2 476,00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A2">
              <w:rPr>
                <w:rFonts w:ascii="Times New Roman" w:hAnsi="Times New Roman" w:cs="Times New Roman"/>
                <w:b/>
              </w:rPr>
              <w:t>2 553,80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A2">
              <w:rPr>
                <w:rFonts w:ascii="Times New Roman" w:hAnsi="Times New Roman" w:cs="Times New Roman"/>
                <w:b/>
              </w:rPr>
              <w:t>2 741,20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A2">
              <w:rPr>
                <w:rFonts w:ascii="Times New Roman" w:hAnsi="Times New Roman" w:cs="Times New Roman"/>
                <w:b/>
              </w:rPr>
              <w:t>116,14%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A2">
              <w:rPr>
                <w:rFonts w:ascii="Times New Roman" w:hAnsi="Times New Roman" w:cs="Times New Roman"/>
                <w:b/>
              </w:rPr>
              <w:t>119,78%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DA2">
              <w:rPr>
                <w:rFonts w:ascii="Times New Roman" w:hAnsi="Times New Roman" w:cs="Times New Roman"/>
                <w:b/>
              </w:rPr>
              <w:t>128,57%</w:t>
            </w:r>
          </w:p>
        </w:tc>
      </w:tr>
      <w:tr w:rsidR="009A5DA2" w:rsidRPr="005B4149" w:rsidTr="00E97EC7">
        <w:trPr>
          <w:trHeight w:val="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DA2" w:rsidRPr="005B4149" w:rsidRDefault="009A5DA2" w:rsidP="008B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t>Н</w:t>
            </w:r>
            <w:r w:rsidRPr="005B4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t>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2 350,00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2 427,80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2 615,20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111,90%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115,61%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124,53%</w:t>
            </w:r>
          </w:p>
        </w:tc>
      </w:tr>
      <w:tr w:rsidR="009A5DA2" w:rsidRPr="005B4149" w:rsidTr="00E97EC7">
        <w:trPr>
          <w:trHeight w:val="2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DA2" w:rsidRPr="005B4149" w:rsidRDefault="009A5DA2" w:rsidP="00E9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</w:t>
            </w:r>
            <w:r w:rsidR="00E97EC7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ДФЛ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495,00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577,80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440,20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123,75%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144,45%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110,05%</w:t>
            </w:r>
          </w:p>
        </w:tc>
      </w:tr>
      <w:tr w:rsidR="009A5DA2" w:rsidRPr="005B4149" w:rsidTr="00E97EC7">
        <w:trPr>
          <w:trHeight w:val="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DA2" w:rsidRPr="005B4149" w:rsidRDefault="009A5DA2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150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0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0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325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216,67%</w:t>
            </w:r>
          </w:p>
        </w:tc>
      </w:tr>
      <w:tr w:rsidR="009A5DA2" w:rsidRPr="005B4149" w:rsidTr="00005C7B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DA2" w:rsidRPr="005B4149" w:rsidRDefault="009A5DA2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250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255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250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250</w:t>
            </w:r>
            <w:r w:rsidR="000C5F8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102,00%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100,00%</w:t>
            </w:r>
          </w:p>
        </w:tc>
      </w:tr>
      <w:tr w:rsidR="009A5DA2" w:rsidRPr="005B4149" w:rsidTr="00E97EC7">
        <w:trPr>
          <w:trHeight w:val="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5DA2" w:rsidRPr="005B4149" w:rsidRDefault="009A5DA2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1 600,00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123,08%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123,08%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</w:rPr>
            </w:pPr>
            <w:r w:rsidRPr="009A5DA2">
              <w:rPr>
                <w:rFonts w:ascii="Times New Roman" w:hAnsi="Times New Roman" w:cs="Times New Roman"/>
              </w:rPr>
              <w:t>123,08%</w:t>
            </w:r>
          </w:p>
        </w:tc>
      </w:tr>
      <w:tr w:rsidR="009A5DA2" w:rsidRPr="005B4149" w:rsidTr="00005C7B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DA2" w:rsidRPr="005B4149" w:rsidRDefault="009A5DA2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126,00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126,00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393,75%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393,75%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DA2" w:rsidRPr="009A5DA2" w:rsidRDefault="009A5DA2" w:rsidP="009A5D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5DA2">
              <w:rPr>
                <w:rFonts w:ascii="Times New Roman" w:hAnsi="Times New Roman" w:cs="Times New Roman"/>
                <w:b/>
                <w:i/>
              </w:rPr>
              <w:t>393,75%</w:t>
            </w:r>
          </w:p>
        </w:tc>
      </w:tr>
      <w:tr w:rsidR="009A5DA2" w:rsidRPr="005B4149" w:rsidTr="00E97EC7">
        <w:trPr>
          <w:trHeight w:val="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5DA2" w:rsidRPr="005B4149" w:rsidRDefault="009A5DA2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Доходы</w:t>
            </w:r>
            <w:r w:rsidR="000C5F8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от аренды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DA2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DA2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126,00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DA2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DA2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126,00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DA2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DA2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-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DA2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-</w:t>
            </w:r>
          </w:p>
        </w:tc>
      </w:tr>
      <w:tr w:rsidR="005B4149" w:rsidRPr="005B4149" w:rsidTr="000C5F80">
        <w:trPr>
          <w:trHeight w:val="6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4149" w:rsidRPr="005B4149" w:rsidRDefault="005B4149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149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149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149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B4149" w:rsidRPr="005B4149" w:rsidRDefault="000C5F80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0,00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49" w:rsidRPr="005B4149" w:rsidRDefault="005B4149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58.18%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4149" w:rsidRPr="005B4149" w:rsidRDefault="005B4149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58.18%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149" w:rsidRPr="005B4149" w:rsidRDefault="005B4149" w:rsidP="005B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58.18%</w:t>
            </w:r>
          </w:p>
        </w:tc>
      </w:tr>
      <w:tr w:rsidR="000C5F80" w:rsidRPr="005B4149" w:rsidTr="00005C7B">
        <w:trPr>
          <w:trHeight w:val="6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80" w:rsidRPr="005B4149" w:rsidRDefault="000C5F80" w:rsidP="005B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ja-JP"/>
              </w:rPr>
              <w:lastRenderedPageBreak/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  <w:i/>
              </w:rPr>
            </w:pPr>
            <w:r w:rsidRPr="000C5F80">
              <w:rPr>
                <w:rFonts w:ascii="Times New Roman" w:hAnsi="Times New Roman" w:cs="Times New Roman"/>
                <w:b/>
                <w:i/>
              </w:rPr>
              <w:t>30 772,30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  <w:i/>
              </w:rPr>
            </w:pPr>
            <w:r w:rsidRPr="000C5F80">
              <w:rPr>
                <w:rFonts w:ascii="Times New Roman" w:hAnsi="Times New Roman" w:cs="Times New Roman"/>
                <w:b/>
                <w:i/>
              </w:rPr>
              <w:t>14 715,80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  <w:i/>
              </w:rPr>
            </w:pPr>
            <w:r w:rsidRPr="000C5F80">
              <w:rPr>
                <w:rFonts w:ascii="Times New Roman" w:hAnsi="Times New Roman" w:cs="Times New Roman"/>
                <w:b/>
                <w:i/>
              </w:rPr>
              <w:t>3 822,90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  <w:i/>
              </w:rPr>
            </w:pPr>
            <w:r w:rsidRPr="000C5F80">
              <w:rPr>
                <w:rFonts w:ascii="Times New Roman" w:hAnsi="Times New Roman" w:cs="Times New Roman"/>
                <w:b/>
                <w:i/>
              </w:rPr>
              <w:t>4 148,88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  <w:i/>
              </w:rPr>
            </w:pPr>
            <w:r w:rsidRPr="000C5F80">
              <w:rPr>
                <w:rFonts w:ascii="Times New Roman" w:hAnsi="Times New Roman" w:cs="Times New Roman"/>
                <w:b/>
                <w:i/>
              </w:rPr>
              <w:t>47,82%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  <w:i/>
              </w:rPr>
            </w:pPr>
            <w:r w:rsidRPr="000C5F80">
              <w:rPr>
                <w:rFonts w:ascii="Times New Roman" w:hAnsi="Times New Roman" w:cs="Times New Roman"/>
                <w:b/>
                <w:i/>
              </w:rPr>
              <w:t>12,42%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  <w:i/>
              </w:rPr>
            </w:pPr>
            <w:r w:rsidRPr="000C5F80">
              <w:rPr>
                <w:rFonts w:ascii="Times New Roman" w:hAnsi="Times New Roman" w:cs="Times New Roman"/>
                <w:b/>
                <w:i/>
              </w:rPr>
              <w:t>13,48%</w:t>
            </w:r>
          </w:p>
        </w:tc>
      </w:tr>
      <w:tr w:rsidR="000C5F80" w:rsidRPr="005B4149" w:rsidTr="00E97EC7">
        <w:trPr>
          <w:trHeight w:val="7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80" w:rsidRPr="005B4149" w:rsidRDefault="000C5F80" w:rsidP="008B0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5B414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Итого доходов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</w:rPr>
            </w:pPr>
            <w:r w:rsidRPr="000C5F80">
              <w:rPr>
                <w:rFonts w:ascii="Times New Roman" w:hAnsi="Times New Roman" w:cs="Times New Roman"/>
                <w:b/>
              </w:rPr>
              <w:t>32 904,30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</w:rPr>
            </w:pPr>
            <w:r w:rsidRPr="000C5F80">
              <w:rPr>
                <w:rFonts w:ascii="Times New Roman" w:hAnsi="Times New Roman" w:cs="Times New Roman"/>
                <w:b/>
              </w:rPr>
              <w:t>17 191,80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</w:rPr>
            </w:pPr>
            <w:r w:rsidRPr="000C5F80">
              <w:rPr>
                <w:rFonts w:ascii="Times New Roman" w:hAnsi="Times New Roman" w:cs="Times New Roman"/>
                <w:b/>
              </w:rPr>
              <w:t>6 376,70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</w:rPr>
            </w:pPr>
            <w:r w:rsidRPr="000C5F80">
              <w:rPr>
                <w:rFonts w:ascii="Times New Roman" w:hAnsi="Times New Roman" w:cs="Times New Roman"/>
                <w:b/>
              </w:rPr>
              <w:t>6 890,08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</w:rPr>
            </w:pPr>
            <w:r w:rsidRPr="000C5F80">
              <w:rPr>
                <w:rFonts w:ascii="Times New Roman" w:hAnsi="Times New Roman" w:cs="Times New Roman"/>
                <w:b/>
              </w:rPr>
              <w:t>52,25%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</w:rPr>
            </w:pPr>
            <w:r w:rsidRPr="000C5F80">
              <w:rPr>
                <w:rFonts w:ascii="Times New Roman" w:hAnsi="Times New Roman" w:cs="Times New Roman"/>
                <w:b/>
              </w:rPr>
              <w:t>19,38%</w:t>
            </w:r>
          </w:p>
        </w:tc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F80" w:rsidRPr="000C5F80" w:rsidRDefault="000C5F80" w:rsidP="00005C7B">
            <w:pPr>
              <w:rPr>
                <w:rFonts w:ascii="Times New Roman" w:hAnsi="Times New Roman" w:cs="Times New Roman"/>
                <w:b/>
              </w:rPr>
            </w:pPr>
            <w:r w:rsidRPr="000C5F80">
              <w:rPr>
                <w:rFonts w:ascii="Times New Roman" w:hAnsi="Times New Roman" w:cs="Times New Roman"/>
                <w:b/>
              </w:rPr>
              <w:t>20,94%</w:t>
            </w:r>
          </w:p>
        </w:tc>
      </w:tr>
    </w:tbl>
    <w:p w:rsidR="00C83645" w:rsidRDefault="00C83645" w:rsidP="00065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EF" w:rsidRPr="0036280E" w:rsidRDefault="000652EF" w:rsidP="00065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следует, что в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 </w:t>
      </w:r>
      <w:r w:rsidR="000C5F8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C5F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сравнению с Проектом бюджета на 202</w:t>
      </w:r>
      <w:r w:rsidR="000C5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налоговым доходам увеличены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лиц, </w:t>
      </w:r>
      <w:r w:rsidR="000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налогу, </w:t>
      </w:r>
      <w:r w:rsidRPr="00320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по налогам на совокупный доход,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на прежнем уровне показатели налога </w:t>
      </w:r>
      <w:r w:rsidR="004C0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2EF" w:rsidRPr="0036280E" w:rsidRDefault="000652EF" w:rsidP="00065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бюджета на 202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составляют по 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 ежегодно, уменьшились по сравнению с Проектом бюджета на 202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на 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 или на 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293,75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652EF" w:rsidRPr="008037AC" w:rsidRDefault="000652EF" w:rsidP="0006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Проекте бюджета на 202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составляют основную часть</w:t>
      </w:r>
      <w:r w:rsidR="0016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уменьшатся 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46C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202</w:t>
      </w:r>
      <w:r w:rsidR="00167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52,18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на </w:t>
      </w:r>
      <w:r w:rsidR="00167071">
        <w:rPr>
          <w:rFonts w:ascii="Times New Roman" w:eastAsia="Times New Roman" w:hAnsi="Times New Roman" w:cs="Times New Roman"/>
          <w:sz w:val="28"/>
          <w:szCs w:val="28"/>
          <w:lang w:eastAsia="ru-RU"/>
        </w:rPr>
        <w:t>16 056,50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составят 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14 715,8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85,60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доходов); в 202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202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уменьшаться по сравнению с 202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87,58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(на </w:t>
      </w:r>
      <w:r w:rsidR="006D201C">
        <w:rPr>
          <w:rFonts w:ascii="Times New Roman" w:eastAsia="Times New Roman" w:hAnsi="Times New Roman" w:cs="Times New Roman"/>
          <w:sz w:val="28"/>
          <w:szCs w:val="28"/>
          <w:lang w:eastAsia="ru-RU"/>
        </w:rPr>
        <w:t>26 949,40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и на 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85,52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proofErr w:type="gramStart"/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EB">
        <w:rPr>
          <w:rFonts w:ascii="Times New Roman" w:eastAsia="Times New Roman" w:hAnsi="Times New Roman" w:cs="Times New Roman"/>
          <w:sz w:val="28"/>
          <w:szCs w:val="28"/>
          <w:lang w:eastAsia="ru-RU"/>
        </w:rPr>
        <w:t>26 623,42</w:t>
      </w:r>
      <w:r w:rsidRPr="0080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соответственно.</w:t>
      </w:r>
    </w:p>
    <w:p w:rsidR="00586400" w:rsidRDefault="006C089E" w:rsidP="00586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</w:t>
      </w:r>
      <w:r w:rsidR="005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5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в таблице</w:t>
      </w:r>
      <w:r w:rsidR="0067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3A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64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ADC" w:rsidRPr="000D3ADC" w:rsidRDefault="000D3ADC" w:rsidP="000D3A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2 </w:t>
      </w:r>
    </w:p>
    <w:p w:rsidR="00586400" w:rsidRDefault="000D3ADC" w:rsidP="000D3AD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A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127"/>
        <w:gridCol w:w="1318"/>
        <w:gridCol w:w="1083"/>
        <w:gridCol w:w="1134"/>
      </w:tblGrid>
      <w:tr w:rsidR="00DC58E0" w:rsidRPr="00DC58E0" w:rsidTr="00DC58E0">
        <w:trPr>
          <w:trHeight w:val="300"/>
        </w:trPr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E0" w:rsidRPr="00DC58E0" w:rsidRDefault="00DC58E0" w:rsidP="00D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Наименование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E0" w:rsidRPr="00DC58E0" w:rsidRDefault="006D201C" w:rsidP="00D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2023</w:t>
            </w:r>
            <w:r w:rsidR="00DC58E0" w:rsidRPr="00DC5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8E0" w:rsidRPr="00DC58E0" w:rsidRDefault="00DC58E0" w:rsidP="006D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6D2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DC5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8E0" w:rsidRPr="00DC58E0" w:rsidRDefault="006D201C" w:rsidP="00DC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2025</w:t>
            </w:r>
            <w:r w:rsidR="00DC58E0" w:rsidRPr="00DC5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</w:tr>
      <w:tr w:rsidR="00F052CE" w:rsidRPr="00DC58E0" w:rsidTr="00005C7B">
        <w:trPr>
          <w:trHeight w:val="51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CE" w:rsidRPr="00DC58E0" w:rsidRDefault="00F052CE" w:rsidP="00D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Дотация на выравнивание бюджетной обеспеченности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4389,60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3327,00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3636,30</w:t>
            </w:r>
          </w:p>
        </w:tc>
      </w:tr>
      <w:tr w:rsidR="00F052CE" w:rsidRPr="00DC58E0" w:rsidTr="00005C7B">
        <w:trPr>
          <w:trHeight w:val="60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CE" w:rsidRPr="00DC58E0" w:rsidRDefault="00F052CE" w:rsidP="00D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Субвенции на выполнение передаваемых полномочий субъектов РФ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155,62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165,09</w:t>
            </w:r>
          </w:p>
        </w:tc>
      </w:tr>
      <w:tr w:rsidR="00F052CE" w:rsidRPr="00DC58E0" w:rsidTr="00005C7B">
        <w:trPr>
          <w:trHeight w:val="85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CE" w:rsidRPr="00DC58E0" w:rsidRDefault="00F052CE" w:rsidP="00D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Субвенции на осуществление первичного воинского учета на территориях</w:t>
            </w: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,</w:t>
            </w:r>
            <w:r w:rsidRPr="00DC58E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где отсутствуют военные комиссариаты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321,10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335,62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347,49</w:t>
            </w:r>
          </w:p>
        </w:tc>
      </w:tr>
      <w:tr w:rsidR="00F052CE" w:rsidRPr="00DC58E0" w:rsidTr="00005C7B">
        <w:trPr>
          <w:trHeight w:val="855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CE" w:rsidRPr="00DC58E0" w:rsidRDefault="00F052CE" w:rsidP="00D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Межбюджетные трансферты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1551,49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0,00</w:t>
            </w:r>
          </w:p>
        </w:tc>
      </w:tr>
      <w:tr w:rsidR="00F052CE" w:rsidRPr="00DC58E0" w:rsidTr="00005C7B">
        <w:trPr>
          <w:trHeight w:val="600"/>
        </w:trPr>
        <w:tc>
          <w:tcPr>
            <w:tcW w:w="5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CE" w:rsidRPr="00DC58E0" w:rsidRDefault="00F052CE" w:rsidP="00DC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8297,99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</w:rPr>
            </w:pPr>
            <w:r w:rsidRPr="00F052CE">
              <w:rPr>
                <w:rFonts w:ascii="Times New Roman" w:hAnsi="Times New Roman" w:cs="Times New Roman"/>
              </w:rPr>
              <w:t>0,00</w:t>
            </w:r>
          </w:p>
        </w:tc>
      </w:tr>
      <w:tr w:rsidR="00F052CE" w:rsidRPr="00DC58E0" w:rsidTr="00005C7B">
        <w:trPr>
          <w:trHeight w:val="315"/>
        </w:trPr>
        <w:tc>
          <w:tcPr>
            <w:tcW w:w="5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CE" w:rsidRPr="00DC58E0" w:rsidRDefault="00F052CE" w:rsidP="00DC5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DC58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Итого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2CE">
              <w:rPr>
                <w:rFonts w:ascii="Times New Roman" w:hAnsi="Times New Roman" w:cs="Times New Roman"/>
                <w:b/>
              </w:rPr>
              <w:t>14715,80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2CE">
              <w:rPr>
                <w:rFonts w:ascii="Times New Roman" w:hAnsi="Times New Roman" w:cs="Times New Roman"/>
                <w:b/>
              </w:rPr>
              <w:t>3822,90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2CE" w:rsidRPr="00F052CE" w:rsidRDefault="00F052CE" w:rsidP="00F0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2CE">
              <w:rPr>
                <w:rFonts w:ascii="Times New Roman" w:hAnsi="Times New Roman" w:cs="Times New Roman"/>
                <w:b/>
              </w:rPr>
              <w:t>4148,88</w:t>
            </w:r>
          </w:p>
        </w:tc>
      </w:tr>
    </w:tbl>
    <w:p w:rsidR="00C83645" w:rsidRDefault="00C83645" w:rsidP="00C83645">
      <w:pPr>
        <w:pStyle w:val="af8"/>
        <w:keepNext/>
        <w:outlineLvl w:val="1"/>
        <w:rPr>
          <w:b/>
          <w:bCs/>
          <w:sz w:val="28"/>
          <w:szCs w:val="28"/>
        </w:rPr>
      </w:pPr>
    </w:p>
    <w:p w:rsidR="0036280E" w:rsidRDefault="00C83645" w:rsidP="00C83645">
      <w:pPr>
        <w:pStyle w:val="af8"/>
        <w:keepNext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6280E" w:rsidRPr="00695736">
        <w:rPr>
          <w:b/>
          <w:bCs/>
          <w:sz w:val="28"/>
          <w:szCs w:val="28"/>
        </w:rPr>
        <w:t>Р</w:t>
      </w:r>
      <w:r w:rsidR="00695736">
        <w:rPr>
          <w:b/>
          <w:bCs/>
          <w:sz w:val="28"/>
          <w:szCs w:val="28"/>
        </w:rPr>
        <w:t>асходная часть бюджета Магнитного сельского поселения.</w:t>
      </w:r>
    </w:p>
    <w:p w:rsidR="00C83645" w:rsidRPr="00695736" w:rsidRDefault="00C83645" w:rsidP="00C83645">
      <w:pPr>
        <w:pStyle w:val="af8"/>
        <w:keepNext/>
        <w:outlineLvl w:val="1"/>
        <w:rPr>
          <w:b/>
          <w:bCs/>
          <w:sz w:val="28"/>
          <w:szCs w:val="28"/>
        </w:rPr>
      </w:pPr>
    </w:p>
    <w:p w:rsidR="00C351DD" w:rsidRPr="00DA4781" w:rsidRDefault="00C351DD" w:rsidP="00C35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расходов Проекта бюджета осуществлялось в соответствии с реестром расходных обязательств </w:t>
      </w:r>
      <w:proofErr w:type="gramStart"/>
      <w:r w:rsidRPr="00DA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DA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Бюджетного кодекса Российской Федерации. </w:t>
      </w:r>
    </w:p>
    <w:p w:rsidR="0036280E" w:rsidRDefault="0036280E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Расходы, отраженные в Проекте </w:t>
      </w:r>
      <w:r w:rsidR="00C351D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, отнесены к соответствующим кодам бюджетной классификации (главного распорядителя бюджетных 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средств, раздела, подраздела, целевой статьи, вида расходов) с соблюдением требований статьи 21 Бюджетного </w:t>
      </w:r>
      <w:r w:rsidR="00C351D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одекса Р</w:t>
      </w:r>
      <w:r w:rsidR="00C351DD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351DD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DC3A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6280E" w:rsidRPr="0036280E" w:rsidRDefault="00C351DD" w:rsidP="00C35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80E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179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280E">
        <w:rPr>
          <w:rFonts w:ascii="Times New Roman" w:hAnsi="Times New Roman" w:cs="Times New Roman"/>
          <w:sz w:val="28"/>
          <w:szCs w:val="28"/>
        </w:rPr>
        <w:t>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6280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6280E">
        <w:rPr>
          <w:rFonts w:ascii="Times New Roman" w:hAnsi="Times New Roman" w:cs="Times New Roman"/>
          <w:sz w:val="28"/>
          <w:szCs w:val="28"/>
        </w:rPr>
        <w:t>, Проектом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 w:rsidRPr="0036280E">
        <w:rPr>
          <w:rFonts w:ascii="Times New Roman" w:hAnsi="Times New Roman" w:cs="Times New Roman"/>
          <w:sz w:val="28"/>
          <w:szCs w:val="28"/>
        </w:rPr>
        <w:t xml:space="preserve"> предусмотрено утверждение объема бюджетных ассигнований на финансовое обеспечение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6280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«Развитие местного самоуправления и решение вопросов местного значения в Магнитном сельском поселении»</w:t>
      </w:r>
      <w:r w:rsidRPr="003628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>Доля расходов на реализацию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в общем объеме расходов бюджета составляет</w:t>
      </w:r>
      <w:r w:rsidR="00E0619D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92493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619D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E9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E0619D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1741C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2493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E06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5253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%, в </w:t>
      </w:r>
      <w:r w:rsidR="001741C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92493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85253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всех расходов Проекта бюджета</w:t>
      </w:r>
      <w:r w:rsidR="0036280E" w:rsidRPr="003628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бюджета, определены приоритеты бюджетных расходов, </w:t>
      </w:r>
      <w:proofErr w:type="gramStart"/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Постановления</w:t>
      </w:r>
      <w:proofErr w:type="gramEnd"/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75261"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C55429"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193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1E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1E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1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</w:t>
      </w:r>
      <w:r w:rsid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FFC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и основных направлениях </w:t>
      </w:r>
      <w:r w:rsidR="00C13FFC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C55429" w:rsidRPr="00C5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</w:t>
      </w:r>
      <w:r w:rsidR="00C5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="00C5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обеспечение устойчивости и эффективности бюджетной системы </w:t>
      </w:r>
      <w:r w:rsidR="00C55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CD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C5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запланированы в сумме         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17 191,80</w:t>
      </w:r>
      <w:r w:rsidR="003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15 712,50</w:t>
      </w:r>
      <w:r w:rsidR="005C0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47,75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3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CD6A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запланированного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72E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0D3ADC" w:rsidRDefault="00D33FF2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расходов бюджета </w:t>
      </w:r>
      <w:r w:rsidR="0024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94492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классификации расходов бюджетов </w:t>
      </w:r>
      <w:r w:rsid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51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5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51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сравнению с </w:t>
      </w:r>
      <w:r w:rsidR="00A3180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B51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Pr="00D3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 в таблице</w:t>
      </w:r>
      <w:r w:rsidR="000D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3:</w:t>
      </w:r>
    </w:p>
    <w:p w:rsidR="00160447" w:rsidRDefault="00160447" w:rsidP="005263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F2" w:rsidRPr="000D3ADC" w:rsidRDefault="000D3ADC" w:rsidP="005263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D33FF2" w:rsidRPr="00D33FF2" w:rsidRDefault="00D33FF2" w:rsidP="0052637E">
      <w:pPr>
        <w:spacing w:after="0"/>
        <w:jc w:val="right"/>
        <w:rPr>
          <w:rFonts w:ascii="Times New Roman" w:hAnsi="Times New Roman" w:cs="Times New Roman"/>
        </w:rPr>
      </w:pPr>
      <w:r w:rsidRPr="000D3ADC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</w:rPr>
        <w:t>й.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417"/>
        <w:gridCol w:w="1418"/>
        <w:gridCol w:w="1134"/>
        <w:gridCol w:w="1134"/>
        <w:gridCol w:w="1134"/>
        <w:gridCol w:w="1134"/>
      </w:tblGrid>
      <w:tr w:rsidR="00CD6ADC" w:rsidRPr="00CD6ADC" w:rsidTr="00CD6ADC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DC" w:rsidRPr="00CD6ADC" w:rsidRDefault="00CD6ADC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Раздел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ADC" w:rsidRPr="00CD6ADC" w:rsidRDefault="00CD6ADC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DC" w:rsidRPr="00CD6ADC" w:rsidRDefault="00CD6ADC" w:rsidP="008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Сумма, тыс. руб. 202</w:t>
            </w:r>
            <w:r w:rsidR="0086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DC" w:rsidRPr="00CD6ADC" w:rsidRDefault="00CD6ADC" w:rsidP="008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Сумма, тыс. руб. 202</w:t>
            </w:r>
            <w:r w:rsidR="00865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DC" w:rsidRPr="00CD6ADC" w:rsidRDefault="00CD6ADC" w:rsidP="008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Сумма,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</w:t>
            </w: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тыс. руб.  202</w:t>
            </w:r>
            <w:r w:rsidR="00865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</w:t>
            </w: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DC" w:rsidRPr="00CD6ADC" w:rsidRDefault="00CD6ADC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Сумма, тыс. руб.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="00865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</w:t>
            </w: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DC" w:rsidRPr="00CD6ADC" w:rsidRDefault="00CD6ADC" w:rsidP="008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865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 г % к 2022</w:t>
            </w: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DC" w:rsidRPr="00CD6ADC" w:rsidRDefault="00CD6ADC" w:rsidP="008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</w:t>
            </w:r>
            <w:r w:rsidR="008656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4г % к 2022</w:t>
            </w: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ADC" w:rsidRPr="00CD6ADC" w:rsidRDefault="0086565F" w:rsidP="008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2025</w:t>
            </w:r>
            <w:r w:rsidR="00CD6ADC"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 % к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="00CD6ADC"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году</w:t>
            </w:r>
          </w:p>
        </w:tc>
      </w:tr>
      <w:tr w:rsidR="004E0186" w:rsidRPr="00CD6ADC" w:rsidTr="00005C7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3 805,95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4 407,82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4 075,02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4 075,02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115,81%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107,07%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107,07%</w:t>
            </w:r>
          </w:p>
        </w:tc>
      </w:tr>
      <w:tr w:rsidR="004E0186" w:rsidRPr="00CD6ADC" w:rsidTr="00005C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272,19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321,10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335,62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347,49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117,97%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123,30%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127,66%</w:t>
            </w:r>
          </w:p>
        </w:tc>
      </w:tr>
      <w:tr w:rsidR="004E0186" w:rsidRPr="00CD6ADC" w:rsidTr="00005C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1 358,47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1 551,49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114,21%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0,00%</w:t>
            </w:r>
          </w:p>
        </w:tc>
      </w:tr>
      <w:tr w:rsidR="004E0186" w:rsidRPr="00CD6ADC" w:rsidTr="00005C7B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18 155,44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367,18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2,02%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0,00%</w:t>
            </w:r>
          </w:p>
        </w:tc>
      </w:tr>
      <w:tr w:rsidR="004E0186" w:rsidRPr="00CD6ADC" w:rsidTr="00005C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9 105,80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10 388,59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1 658,68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1 983,48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114,09%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18,22%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21,78%</w:t>
            </w:r>
          </w:p>
        </w:tc>
      </w:tr>
      <w:tr w:rsidR="004E0186" w:rsidRPr="00CD6ADC" w:rsidTr="00005C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155,62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79,22%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81,59%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84,04%</w:t>
            </w:r>
          </w:p>
        </w:tc>
      </w:tr>
      <w:tr w:rsidR="004E0186" w:rsidRPr="00CD6ADC" w:rsidTr="00005C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</w:rPr>
            </w:pPr>
            <w:r w:rsidRPr="004E0186">
              <w:rPr>
                <w:rFonts w:ascii="Times New Roman" w:hAnsi="Times New Roman" w:cs="Times New Roman"/>
              </w:rPr>
              <w:t>0,00%</w:t>
            </w:r>
          </w:p>
        </w:tc>
      </w:tr>
      <w:tr w:rsidR="004E0186" w:rsidRPr="00CD6ADC" w:rsidTr="00005C7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86" w:rsidRPr="00CD6ADC" w:rsidRDefault="004E0186" w:rsidP="00CD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D6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86">
              <w:rPr>
                <w:rFonts w:ascii="Times New Roman" w:hAnsi="Times New Roman" w:cs="Times New Roman"/>
                <w:b/>
              </w:rPr>
              <w:t>32 904,30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86">
              <w:rPr>
                <w:rFonts w:ascii="Times New Roman" w:hAnsi="Times New Roman" w:cs="Times New Roman"/>
                <w:b/>
              </w:rPr>
              <w:t>17 191,80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86">
              <w:rPr>
                <w:rFonts w:ascii="Times New Roman" w:hAnsi="Times New Roman" w:cs="Times New Roman"/>
                <w:b/>
              </w:rPr>
              <w:t>6 229,60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86">
              <w:rPr>
                <w:rFonts w:ascii="Times New Roman" w:hAnsi="Times New Roman" w:cs="Times New Roman"/>
                <w:b/>
              </w:rPr>
              <w:t>6 571,08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86">
              <w:rPr>
                <w:rFonts w:ascii="Times New Roman" w:hAnsi="Times New Roman" w:cs="Times New Roman"/>
                <w:b/>
              </w:rPr>
              <w:t>52,25%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86">
              <w:rPr>
                <w:rFonts w:ascii="Times New Roman" w:hAnsi="Times New Roman" w:cs="Times New Roman"/>
                <w:b/>
              </w:rPr>
              <w:t>18,93%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186" w:rsidRPr="004E0186" w:rsidRDefault="004E0186" w:rsidP="004E01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186">
              <w:rPr>
                <w:rFonts w:ascii="Times New Roman" w:hAnsi="Times New Roman" w:cs="Times New Roman"/>
                <w:b/>
              </w:rPr>
              <w:t>19,97%</w:t>
            </w:r>
          </w:p>
        </w:tc>
      </w:tr>
    </w:tbl>
    <w:p w:rsidR="00C83645" w:rsidRDefault="00C83645" w:rsidP="00F87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FD4" w:rsidRDefault="00F87A78" w:rsidP="00F87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структуры расходов  видно, что основную долю расходов на 202</w:t>
      </w:r>
      <w:r w:rsid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составляют расходы </w:t>
      </w:r>
      <w:r w:rsidR="00F71FD4"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</w:t>
      </w:r>
      <w:r w:rsid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8 «Культура,  кинематография» (60,43</w:t>
      </w:r>
      <w:r w:rsidR="00F71FD4"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по </w:t>
      </w:r>
      <w:r w:rsidR="00F71FD4"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разделу 01 «Общегосударственные вопросы» (</w:t>
      </w:r>
      <w:r w:rsid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25,64</w:t>
      </w:r>
      <w:r w:rsidR="00F71FD4"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F71FD4" w:rsidRPr="00F71FD4">
        <w:t xml:space="preserve"> </w:t>
      </w:r>
      <w:r w:rsidR="00F71FD4"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04 «Национальная экономика» (</w:t>
      </w:r>
      <w:r w:rsid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9,02%).</w:t>
      </w:r>
    </w:p>
    <w:p w:rsidR="00F71FD4" w:rsidRDefault="00F71FD4" w:rsidP="00F87A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Наименьшую долю расходов в бюджете составляют расходы на  «Жилищно-коммунальное хозяйство» (2,14%),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«Национальную оборону»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1,87%, на </w:t>
      </w:r>
      <w:r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«Социальную политику» - 0,9%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A78" w:rsidRPr="004C4E0A" w:rsidRDefault="00F71FD4" w:rsidP="00F71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7A78"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сравнительного анализа расходов Проекта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7A78"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расходами Проекта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A78"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классификации расходов бюджет</w:t>
      </w:r>
      <w:r w:rsidR="00F87A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7A78"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выявлено, что увеличение </w:t>
      </w:r>
      <w:r w:rsidR="00F8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</w:t>
      </w:r>
      <w:r w:rsidR="00F87A78"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8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A78"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F87A78" w:rsidRDefault="00F87A78" w:rsidP="00F87A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15,81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A78" w:rsidRPr="004C4E0A" w:rsidRDefault="00F87A78" w:rsidP="00F87A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оборона» - </w:t>
      </w:r>
      <w:r w:rsidR="00F71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117,97</w:t>
      </w:r>
      <w:r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F87A78" w:rsidRPr="004C4E0A" w:rsidRDefault="00F87A78" w:rsidP="00F87A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- 1</w:t>
      </w:r>
      <w:r w:rsid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14,21</w:t>
      </w: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F87A78" w:rsidRDefault="00F87A78" w:rsidP="00F87A7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«Культура, кинематография» - 1</w:t>
      </w:r>
      <w:r w:rsidR="00F71FD4">
        <w:rPr>
          <w:rFonts w:ascii="Times New Roman" w:eastAsia="Times New Roman" w:hAnsi="Times New Roman" w:cs="Times New Roman"/>
          <w:sz w:val="28"/>
          <w:szCs w:val="28"/>
          <w:lang w:eastAsia="ru-RU"/>
        </w:rPr>
        <w:t>14,09</w:t>
      </w:r>
      <w:r w:rsidR="00005C7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87A78" w:rsidRDefault="00005C7B" w:rsidP="006D164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запланировано по ра</w:t>
      </w:r>
      <w:r w:rsidR="006D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зделам «Социальная политика»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20,78%, </w:t>
      </w:r>
      <w:r w:rsidR="00F87A78" w:rsidRPr="004C4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«Жилищно-коммунальное хозяйство» </w:t>
      </w:r>
      <w:r w:rsidR="006D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87A78" w:rsidRPr="004C4E0A" w:rsidRDefault="00F87A78" w:rsidP="00F87A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бюджета в 202</w:t>
      </w:r>
      <w:r w:rsidR="0000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00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не предусмотрены расходы по раздел</w:t>
      </w:r>
      <w:r w:rsidR="0000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«Национальная экономика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00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хозяйство»</w:t>
      </w:r>
      <w:r w:rsidR="006D1643" w:rsidRPr="006D1643">
        <w:t xml:space="preserve"> </w:t>
      </w:r>
      <w:r w:rsidR="006D1643" w:rsidRPr="006D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6D1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 и спорт»</w:t>
      </w:r>
      <w:r w:rsidR="0000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7A78" w:rsidRPr="0036280E" w:rsidRDefault="00F87A78" w:rsidP="00F8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b/>
          <w:color w:val="4F81BD" w:themeColor="accent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направление составляет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кинемато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графия», «Социальная политика»</w:t>
      </w:r>
      <w:r w:rsidR="001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 и спорт»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сумму </w:t>
      </w:r>
      <w:r w:rsidR="00F530F4">
        <w:rPr>
          <w:rFonts w:ascii="Times New Roman" w:eastAsia="Times New Roman" w:hAnsi="Times New Roman" w:cs="Times New Roman"/>
          <w:sz w:val="28"/>
          <w:szCs w:val="28"/>
          <w:lang w:eastAsia="ru-RU"/>
        </w:rPr>
        <w:t>10 544,21</w:t>
      </w:r>
      <w:r w:rsidR="001D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 </w:t>
      </w:r>
      <w:r w:rsidR="00F530F4">
        <w:rPr>
          <w:rFonts w:ascii="Times New Roman" w:eastAsia="Times New Roman" w:hAnsi="Times New Roman" w:cs="Times New Roman"/>
          <w:sz w:val="28"/>
          <w:szCs w:val="28"/>
          <w:lang w:eastAsia="ru-RU"/>
        </w:rPr>
        <w:t>61,33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всей расходной части бюджета (увеличение 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530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на </w:t>
      </w:r>
      <w:r w:rsidR="00F530F4">
        <w:rPr>
          <w:rFonts w:ascii="Times New Roman" w:eastAsia="Times New Roman" w:hAnsi="Times New Roman" w:cs="Times New Roman"/>
          <w:sz w:val="28"/>
          <w:szCs w:val="28"/>
          <w:lang w:eastAsia="ru-RU"/>
        </w:rPr>
        <w:t>1 231,96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3E337B" w:rsidRPr="001073BA" w:rsidRDefault="0036280E" w:rsidP="003E3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экспертизы </w:t>
      </w:r>
      <w:r w:rsidR="00F530F4">
        <w:rPr>
          <w:rFonts w:ascii="Times New Roman" w:hAnsi="Times New Roman" w:cs="Times New Roman"/>
          <w:color w:val="000000"/>
          <w:sz w:val="28"/>
          <w:szCs w:val="28"/>
        </w:rPr>
        <w:t>Проекта бюджета на 2023</w:t>
      </w:r>
      <w:r w:rsidR="001D78C6" w:rsidRPr="001F348E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F530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D78C6" w:rsidRPr="001F348E">
        <w:rPr>
          <w:rFonts w:ascii="Times New Roman" w:hAnsi="Times New Roman" w:cs="Times New Roman"/>
          <w:color w:val="000000"/>
          <w:sz w:val="28"/>
          <w:szCs w:val="28"/>
        </w:rPr>
        <w:t xml:space="preserve"> гг.</w:t>
      </w:r>
      <w:r w:rsidR="001D78C6">
        <w:rPr>
          <w:color w:val="000000"/>
          <w:sz w:val="28"/>
          <w:szCs w:val="28"/>
        </w:rPr>
        <w:t xml:space="preserve"> </w:t>
      </w:r>
      <w:r w:rsidRPr="0036280E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294492">
        <w:rPr>
          <w:rFonts w:ascii="Times New Roman" w:hAnsi="Times New Roman" w:cs="Times New Roman"/>
          <w:color w:val="000000"/>
          <w:sz w:val="28"/>
          <w:szCs w:val="28"/>
        </w:rPr>
        <w:t xml:space="preserve"> паспорт</w:t>
      </w:r>
      <w:r w:rsidRPr="00362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 программы</w:t>
      </w:r>
      <w:r w:rsidR="00294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492" w:rsidRPr="00294492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местного самоуправления и решение вопросов местного значения в </w:t>
      </w:r>
      <w:r w:rsidR="00875261">
        <w:rPr>
          <w:rFonts w:ascii="Times New Roman" w:hAnsi="Times New Roman" w:cs="Times New Roman"/>
          <w:color w:val="000000"/>
          <w:sz w:val="28"/>
          <w:szCs w:val="28"/>
        </w:rPr>
        <w:t>Магнитн</w:t>
      </w:r>
      <w:r w:rsidR="00294492">
        <w:rPr>
          <w:rFonts w:ascii="Times New Roman" w:hAnsi="Times New Roman" w:cs="Times New Roman"/>
          <w:color w:val="000000"/>
          <w:sz w:val="28"/>
          <w:szCs w:val="28"/>
        </w:rPr>
        <w:t>ом сельском поселении</w:t>
      </w:r>
      <w:r w:rsidR="001D78C6">
        <w:rPr>
          <w:rFonts w:ascii="Times New Roman" w:hAnsi="Times New Roman" w:cs="Times New Roman"/>
          <w:color w:val="000000"/>
          <w:sz w:val="28"/>
          <w:szCs w:val="28"/>
        </w:rPr>
        <w:t xml:space="preserve"> Агаповского муниципального района</w:t>
      </w:r>
      <w:r w:rsidR="002944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E6126">
        <w:rPr>
          <w:rFonts w:ascii="Times New Roman" w:hAnsi="Times New Roman" w:cs="Times New Roman"/>
          <w:color w:val="000000"/>
          <w:sz w:val="28"/>
          <w:szCs w:val="28"/>
        </w:rPr>
        <w:t>, утвержденный постановлением администрации Маг</w:t>
      </w:r>
      <w:r w:rsidR="00F530F4">
        <w:rPr>
          <w:rFonts w:ascii="Times New Roman" w:hAnsi="Times New Roman" w:cs="Times New Roman"/>
          <w:color w:val="000000"/>
          <w:sz w:val="28"/>
          <w:szCs w:val="28"/>
        </w:rPr>
        <w:t xml:space="preserve">нитного сельского поселения от </w:t>
      </w:r>
      <w:r w:rsidR="00AE61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530F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E6126">
        <w:rPr>
          <w:rFonts w:ascii="Times New Roman" w:hAnsi="Times New Roman" w:cs="Times New Roman"/>
          <w:color w:val="000000"/>
          <w:sz w:val="28"/>
          <w:szCs w:val="28"/>
        </w:rPr>
        <w:t>.11.202</w:t>
      </w:r>
      <w:r w:rsidR="00F5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E6126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F530F4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7430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337B" w:rsidRPr="001073BA">
        <w:rPr>
          <w:rFonts w:ascii="Times New Roman" w:hAnsi="Times New Roman" w:cs="Times New Roman"/>
          <w:sz w:val="28"/>
          <w:szCs w:val="28"/>
        </w:rPr>
        <w:t>Сумма расходов</w:t>
      </w:r>
      <w:r w:rsidR="00995A2C">
        <w:rPr>
          <w:rFonts w:ascii="Times New Roman" w:hAnsi="Times New Roman" w:cs="Times New Roman"/>
          <w:sz w:val="28"/>
          <w:szCs w:val="28"/>
        </w:rPr>
        <w:t>, указанная в</w:t>
      </w:r>
      <w:r w:rsidR="003E337B" w:rsidRPr="001073BA">
        <w:rPr>
          <w:rFonts w:ascii="Times New Roman" w:hAnsi="Times New Roman" w:cs="Times New Roman"/>
          <w:sz w:val="28"/>
          <w:szCs w:val="28"/>
        </w:rPr>
        <w:t xml:space="preserve"> п</w:t>
      </w:r>
      <w:r w:rsidR="00995A2C">
        <w:rPr>
          <w:rFonts w:ascii="Times New Roman" w:hAnsi="Times New Roman" w:cs="Times New Roman"/>
          <w:sz w:val="28"/>
          <w:szCs w:val="28"/>
        </w:rPr>
        <w:t>аспорте</w:t>
      </w:r>
      <w:r w:rsidR="003E337B" w:rsidRPr="001073BA">
        <w:rPr>
          <w:rFonts w:ascii="Times New Roman" w:hAnsi="Times New Roman" w:cs="Times New Roman"/>
          <w:sz w:val="28"/>
          <w:szCs w:val="28"/>
        </w:rPr>
        <w:t xml:space="preserve"> прог</w:t>
      </w:r>
      <w:r w:rsidR="00995A2C">
        <w:rPr>
          <w:rFonts w:ascii="Times New Roman" w:hAnsi="Times New Roman" w:cs="Times New Roman"/>
          <w:sz w:val="28"/>
          <w:szCs w:val="28"/>
        </w:rPr>
        <w:t>раммы,</w:t>
      </w:r>
      <w:r w:rsidR="003E337B" w:rsidRPr="001073BA">
        <w:rPr>
          <w:rFonts w:ascii="Times New Roman" w:hAnsi="Times New Roman" w:cs="Times New Roman"/>
          <w:sz w:val="28"/>
          <w:szCs w:val="28"/>
        </w:rPr>
        <w:t xml:space="preserve"> соответствует проекту бюджет</w:t>
      </w:r>
      <w:r w:rsidR="001D78C6">
        <w:rPr>
          <w:rFonts w:ascii="Times New Roman" w:hAnsi="Times New Roman" w:cs="Times New Roman"/>
          <w:sz w:val="28"/>
          <w:szCs w:val="28"/>
        </w:rPr>
        <w:t>а на 202</w:t>
      </w:r>
      <w:r w:rsidR="00F530F4">
        <w:rPr>
          <w:rFonts w:ascii="Times New Roman" w:hAnsi="Times New Roman" w:cs="Times New Roman"/>
          <w:sz w:val="28"/>
          <w:szCs w:val="28"/>
        </w:rPr>
        <w:t>3</w:t>
      </w:r>
      <w:r w:rsidR="001D78C6">
        <w:rPr>
          <w:rFonts w:ascii="Times New Roman" w:hAnsi="Times New Roman" w:cs="Times New Roman"/>
          <w:sz w:val="28"/>
          <w:szCs w:val="28"/>
        </w:rPr>
        <w:t>-202</w:t>
      </w:r>
      <w:r w:rsidR="00F530F4">
        <w:rPr>
          <w:rFonts w:ascii="Times New Roman" w:hAnsi="Times New Roman" w:cs="Times New Roman"/>
          <w:sz w:val="28"/>
          <w:szCs w:val="28"/>
        </w:rPr>
        <w:t>5</w:t>
      </w:r>
      <w:r w:rsidR="001D78C6">
        <w:rPr>
          <w:rFonts w:ascii="Times New Roman" w:hAnsi="Times New Roman" w:cs="Times New Roman"/>
          <w:sz w:val="28"/>
          <w:szCs w:val="28"/>
        </w:rPr>
        <w:t xml:space="preserve"> гг</w:t>
      </w:r>
      <w:r w:rsidR="003E337B" w:rsidRPr="001073BA">
        <w:rPr>
          <w:rFonts w:ascii="Times New Roman" w:hAnsi="Times New Roman" w:cs="Times New Roman"/>
          <w:sz w:val="28"/>
          <w:szCs w:val="28"/>
        </w:rPr>
        <w:t>.</w:t>
      </w:r>
    </w:p>
    <w:p w:rsidR="0052637E" w:rsidRDefault="001D78C6" w:rsidP="005864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экспертизы Проекта бюджета был проведен сравнительный анализ </w:t>
      </w:r>
      <w:proofErr w:type="gramStart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муниципальных учреждений</w:t>
      </w:r>
      <w:proofErr w:type="gramEnd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предусмотренных в Проектах бюджета на 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представлены в таблице</w:t>
      </w:r>
      <w:r w:rsidR="0052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36280E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447" w:rsidRDefault="00160447" w:rsidP="005263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0E" w:rsidRPr="0052637E" w:rsidRDefault="0052637E" w:rsidP="0052637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p w:rsidR="0036280E" w:rsidRPr="0052637E" w:rsidRDefault="0036280E" w:rsidP="0052637E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37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59"/>
        <w:gridCol w:w="3729"/>
        <w:gridCol w:w="1584"/>
        <w:gridCol w:w="1587"/>
        <w:gridCol w:w="1370"/>
      </w:tblGrid>
      <w:tr w:rsidR="00454B8E" w:rsidRPr="00454B8E" w:rsidTr="00454B8E">
        <w:trPr>
          <w:trHeight w:val="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Раздел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Сумма, тыс. руб. </w:t>
            </w:r>
            <w:r w:rsidR="008C7C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2022</w:t>
            </w: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B8E" w:rsidRPr="00454B8E" w:rsidRDefault="00454B8E" w:rsidP="008C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Сумма, тыс. руб. 202</w:t>
            </w:r>
            <w:r w:rsidR="008C7C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3</w:t>
            </w: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г.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8C7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% к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="008C7C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>2</w:t>
            </w: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ja-JP"/>
              </w:rPr>
              <w:t xml:space="preserve"> году</w:t>
            </w:r>
          </w:p>
        </w:tc>
      </w:tr>
      <w:tr w:rsidR="00472E9A" w:rsidRPr="00454B8E" w:rsidTr="00005C7B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Администрация Магнитного сельского поселения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2 967,49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4 075,02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137,32%</w:t>
            </w:r>
          </w:p>
        </w:tc>
      </w:tr>
      <w:tr w:rsidR="00472E9A" w:rsidRPr="00454B8E" w:rsidTr="00005C7B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ВУС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244,35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276,07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112,98%</w:t>
            </w:r>
          </w:p>
        </w:tc>
      </w:tr>
      <w:tr w:rsidR="00472E9A" w:rsidRPr="00454B8E" w:rsidTr="00005C7B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МУК "</w:t>
            </w:r>
            <w:proofErr w:type="gramStart"/>
            <w:r w:rsidRPr="00454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Магнитная</w:t>
            </w:r>
            <w:proofErr w:type="gramEnd"/>
            <w:r w:rsidRPr="00454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ЦКС"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6 820,41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8 072,77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118,36%</w:t>
            </w:r>
          </w:p>
        </w:tc>
      </w:tr>
      <w:tr w:rsidR="00472E9A" w:rsidRPr="00454B8E" w:rsidTr="00005C7B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ВСЕГО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9A">
              <w:rPr>
                <w:rFonts w:ascii="Times New Roman" w:hAnsi="Times New Roman" w:cs="Times New Roman"/>
                <w:b/>
              </w:rPr>
              <w:t>10 032,25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9A">
              <w:rPr>
                <w:rFonts w:ascii="Times New Roman" w:hAnsi="Times New Roman" w:cs="Times New Roman"/>
                <w:b/>
              </w:rPr>
              <w:t>12 423,86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E9A">
              <w:rPr>
                <w:rFonts w:ascii="Times New Roman" w:hAnsi="Times New Roman" w:cs="Times New Roman"/>
                <w:b/>
              </w:rPr>
              <w:t>123,84%</w:t>
            </w:r>
          </w:p>
        </w:tc>
      </w:tr>
    </w:tbl>
    <w:p w:rsidR="00160447" w:rsidRDefault="00160447" w:rsidP="00454B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B8E" w:rsidRPr="001F348E" w:rsidRDefault="00454B8E" w:rsidP="00454B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показателей таблицы следует, что увеличение фонда оплаты труда произошло в связи с повышением оплаты труда в </w:t>
      </w:r>
      <w:bookmarkStart w:id="0" w:name="_GoBack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End w:id="0"/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прогнозируемым повышением оплаты труда в 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54B8E" w:rsidRDefault="00454B8E" w:rsidP="00454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в сумме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D84">
        <w:rPr>
          <w:rFonts w:ascii="Times New Roman" w:eastAsia="Times New Roman" w:hAnsi="Times New Roman" w:cs="Times New Roman"/>
          <w:sz w:val="28"/>
          <w:szCs w:val="28"/>
          <w:lang w:eastAsia="ru-RU"/>
        </w:rPr>
        <w:t>12 423,86</w:t>
      </w:r>
      <w:r w:rsidRPr="001F34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D84">
        <w:rPr>
          <w:rFonts w:ascii="Times New Roman" w:eastAsia="Times New Roman" w:hAnsi="Times New Roman" w:cs="Times New Roman"/>
          <w:sz w:val="28"/>
          <w:szCs w:val="28"/>
          <w:lang w:eastAsia="ru-RU"/>
        </w:rPr>
        <w:t>72,27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>% всех расходов</w:t>
      </w:r>
      <w:r w:rsidRPr="001F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64D8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A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CA3B92" w:rsidRPr="005259B2" w:rsidRDefault="00454B8E" w:rsidP="00CA3B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174.2 БК РФ п</w:t>
      </w:r>
      <w:r w:rsidR="00CA3B92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ланирование бюджетных ассигнований</w:t>
      </w:r>
      <w:r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B92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 и в соответствии с методикой, устанавливаемой администрацией Магнитного сельского поселения</w:t>
      </w:r>
      <w:r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3B92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от 28.1</w:t>
      </w:r>
      <w:r w:rsidR="00E102DA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B92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41C7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37B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A3B92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102DA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CA3B92" w:rsidRPr="0052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CC6" w:rsidRDefault="00E00CC6" w:rsidP="00E00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представленным расчетам</w:t>
      </w:r>
      <w:r w:rsidR="00454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запланированные поселением и утвержденные по сметам расходы на </w:t>
      </w:r>
      <w:r w:rsidR="00174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6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 таблице</w:t>
      </w:r>
      <w:r w:rsidR="0052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</w:t>
      </w:r>
      <w:r w:rsidRPr="00686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0447" w:rsidRDefault="00160447" w:rsidP="00526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637E" w:rsidRPr="0052637E" w:rsidRDefault="0052637E" w:rsidP="00526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5</w:t>
      </w:r>
    </w:p>
    <w:p w:rsidR="00E00CC6" w:rsidRPr="0052637E" w:rsidRDefault="00E00CC6" w:rsidP="00526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6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80"/>
        <w:gridCol w:w="2740"/>
        <w:gridCol w:w="1424"/>
        <w:gridCol w:w="1984"/>
        <w:gridCol w:w="2268"/>
      </w:tblGrid>
      <w:tr w:rsidR="00454B8E" w:rsidRPr="00454B8E" w:rsidTr="00454B8E">
        <w:trPr>
          <w:trHeight w:val="7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№ подстатьи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Наименование  расходов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Исчислено поселением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Утверждено по смете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B8E" w:rsidRPr="00454B8E" w:rsidRDefault="00454B8E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Отклонения</w:t>
            </w:r>
          </w:p>
        </w:tc>
      </w:tr>
      <w:tr w:rsidR="00472E9A" w:rsidRPr="00454B8E" w:rsidTr="00005C7B">
        <w:trPr>
          <w:trHeight w:val="1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Оплата труда и начисления на оплату труда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CF712D" w:rsidP="00472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12 423,86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CF712D">
              <w:rPr>
                <w:rFonts w:ascii="Times New Roman" w:hAnsi="Times New Roman" w:cs="Times New Roman"/>
              </w:rPr>
              <w:t>12 423,86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CF712D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1</w:t>
            </w:r>
            <w:r w:rsidR="00CF712D">
              <w:rPr>
                <w:rFonts w:ascii="Times New Roman" w:hAnsi="Times New Roman" w:cs="Times New Roman"/>
              </w:rPr>
              <w:t>00,00</w:t>
            </w:r>
            <w:r w:rsidRPr="00472E9A">
              <w:rPr>
                <w:rFonts w:ascii="Times New Roman" w:hAnsi="Times New Roman" w:cs="Times New Roman"/>
              </w:rPr>
              <w:t>%</w:t>
            </w:r>
          </w:p>
        </w:tc>
      </w:tr>
      <w:tr w:rsidR="00472E9A" w:rsidRPr="00454B8E" w:rsidTr="00005C7B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Коммунальные услуги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3 015,80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3 015,80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100,00%</w:t>
            </w:r>
          </w:p>
        </w:tc>
      </w:tr>
      <w:tr w:rsidR="00472E9A" w:rsidRPr="00454B8E" w:rsidTr="00005C7B">
        <w:trPr>
          <w:trHeight w:val="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Услуги связи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142,39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0,00%</w:t>
            </w:r>
          </w:p>
        </w:tc>
      </w:tr>
      <w:tr w:rsidR="00472E9A" w:rsidRPr="00454B8E" w:rsidTr="00005C7B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240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9A" w:rsidRPr="00454B8E" w:rsidRDefault="00472E9A" w:rsidP="00454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</w:pPr>
            <w:r w:rsidRPr="00454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ja-JP"/>
              </w:rPr>
              <w:t>Прочие расходы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6 373,21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E9A" w:rsidRPr="00472E9A" w:rsidRDefault="00472E9A" w:rsidP="00472E9A">
            <w:pPr>
              <w:jc w:val="center"/>
              <w:rPr>
                <w:rFonts w:ascii="Times New Roman" w:hAnsi="Times New Roman" w:cs="Times New Roman"/>
              </w:rPr>
            </w:pPr>
            <w:r w:rsidRPr="00472E9A">
              <w:rPr>
                <w:rFonts w:ascii="Times New Roman" w:hAnsi="Times New Roman" w:cs="Times New Roman"/>
              </w:rPr>
              <w:t>0,00%</w:t>
            </w:r>
          </w:p>
        </w:tc>
      </w:tr>
    </w:tbl>
    <w:p w:rsidR="00E00CC6" w:rsidRDefault="00E00CC6" w:rsidP="00E00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2DA" w:rsidRDefault="00E102DA" w:rsidP="005864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данных таблицы видно, что на оплату труда</w:t>
      </w:r>
      <w:r w:rsidR="0066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коммунальные расходы выделено 100%, на </w:t>
      </w:r>
      <w:r w:rsidR="00664D84" w:rsidRPr="0066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услуги связи</w:t>
      </w:r>
      <w:r w:rsidR="00CF7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E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</w:t>
      </w:r>
      <w:r w:rsidR="00664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В условиях </w:t>
      </w:r>
      <w:r w:rsidR="001E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недостаточности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</w:t>
      </w:r>
      <w:r w:rsidR="001E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</w:t>
      </w:r>
      <w:r w:rsidR="001E4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уменьшены</w:t>
      </w:r>
      <w:r w:rsidRPr="00E10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чтобы получился сбалансированный бюджет, поэтому дефицит бюджета является скрытым.</w:t>
      </w:r>
    </w:p>
    <w:p w:rsidR="00C83645" w:rsidRDefault="00C83645" w:rsidP="0058640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E91" w:rsidRDefault="00160447" w:rsidP="00160447">
      <w:pPr>
        <w:pStyle w:val="af8"/>
        <w:widowControl w:val="0"/>
        <w:suppressAutoHyphens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C11E91" w:rsidRPr="006732ED">
        <w:rPr>
          <w:b/>
          <w:color w:val="000000"/>
          <w:sz w:val="28"/>
          <w:szCs w:val="28"/>
        </w:rPr>
        <w:t>Дефицит бюджета и источники его финансирования</w:t>
      </w:r>
      <w:r w:rsidR="0010607D" w:rsidRPr="006732ED">
        <w:rPr>
          <w:b/>
          <w:color w:val="000000"/>
          <w:sz w:val="28"/>
          <w:szCs w:val="28"/>
        </w:rPr>
        <w:t>.</w:t>
      </w:r>
    </w:p>
    <w:p w:rsidR="00C83645" w:rsidRPr="006732ED" w:rsidRDefault="00C83645" w:rsidP="00C83645">
      <w:pPr>
        <w:pStyle w:val="af8"/>
        <w:widowControl w:val="0"/>
        <w:suppressAutoHyphens/>
        <w:rPr>
          <w:b/>
          <w:color w:val="000000"/>
          <w:sz w:val="28"/>
          <w:szCs w:val="28"/>
        </w:rPr>
      </w:pPr>
    </w:p>
    <w:p w:rsidR="001E427E" w:rsidRPr="00F62262" w:rsidRDefault="001E427E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Проекта бюджета 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обеспечиваются плановыми доходами. Бюджет запланирован </w:t>
      </w:r>
      <w:proofErr w:type="gramStart"/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бездефицитным</w:t>
      </w:r>
      <w:proofErr w:type="gramEnd"/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E427E" w:rsidRPr="00F62262" w:rsidRDefault="001E427E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предлагается утвердить источники внутреннего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2023-2025</w:t>
      </w: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гг.: изменение остатков средств на счетах по учету средств бюджета.</w:t>
      </w:r>
    </w:p>
    <w:p w:rsidR="001E427E" w:rsidRDefault="001E427E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источник финансирования дефицита бюджета сельского поселения соответствует статье 96 Бюджетного кодекса Российской Федерации.</w:t>
      </w:r>
    </w:p>
    <w:p w:rsidR="00C83645" w:rsidRDefault="00C83645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47" w:rsidRDefault="00160447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47" w:rsidRDefault="00160447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47" w:rsidRDefault="00160447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447" w:rsidRDefault="00160447" w:rsidP="001E427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80E" w:rsidRPr="00160447" w:rsidRDefault="00160447" w:rsidP="00160447">
      <w:pPr>
        <w:ind w:left="360"/>
        <w:jc w:val="center"/>
        <w:rPr>
          <w:b/>
          <w:sz w:val="28"/>
          <w:szCs w:val="28"/>
        </w:rPr>
      </w:pPr>
      <w:r w:rsidRPr="001604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6280E" w:rsidRPr="00160447">
        <w:rPr>
          <w:rFonts w:ascii="Times New Roman" w:hAnsi="Times New Roman" w:cs="Times New Roman"/>
          <w:b/>
          <w:sz w:val="28"/>
          <w:szCs w:val="28"/>
        </w:rPr>
        <w:t>В</w:t>
      </w:r>
      <w:r w:rsidR="00695736" w:rsidRPr="00160447">
        <w:rPr>
          <w:rFonts w:ascii="Times New Roman" w:hAnsi="Times New Roman" w:cs="Times New Roman"/>
          <w:b/>
          <w:sz w:val="28"/>
          <w:szCs w:val="28"/>
        </w:rPr>
        <w:t>ыводы</w:t>
      </w:r>
      <w:r w:rsidR="00695736" w:rsidRPr="00160447">
        <w:rPr>
          <w:b/>
          <w:sz w:val="28"/>
          <w:szCs w:val="28"/>
        </w:rPr>
        <w:t>.</w:t>
      </w: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1). На основании вышеизложенного, Контрольно-счетная палата считает, что предложенный Проект решения Со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целом соответствует нормам действующего бюджетного законодательства.</w:t>
      </w:r>
    </w:p>
    <w:p w:rsidR="0036280E" w:rsidRPr="0036280E" w:rsidRDefault="0036280E" w:rsidP="00362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  <w:r w:rsidR="001E4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 депутатов Магнитного сельского поселения рекоменду</w:t>
      </w:r>
      <w:r w:rsidR="00E97E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E4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4E1F1C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4E1F1C"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4E1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36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875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на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0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58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061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6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80E" w:rsidRDefault="0036280E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F1C" w:rsidRPr="0036280E" w:rsidRDefault="00F75832" w:rsidP="0036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D67" w:rsidRPr="00FA3D67" w:rsidRDefault="00FA3D67" w:rsidP="00FA3D67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</w:t>
      </w:r>
      <w:r w:rsidR="009F2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A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Г.К. Тихонова</w:t>
      </w:r>
    </w:p>
    <w:p w:rsidR="00FA3D67" w:rsidRPr="00FA3D67" w:rsidRDefault="00FA3D67" w:rsidP="00FA3D67">
      <w:pPr>
        <w:spacing w:after="0" w:line="240" w:lineRule="auto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A3D67" w:rsidRPr="00FA3D67" w:rsidRDefault="00FA3D67" w:rsidP="0003412B">
      <w:pPr>
        <w:spacing w:after="0" w:line="0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A3D67">
        <w:rPr>
          <w:rFonts w:ascii="Times New Roman" w:eastAsia="Times New Roman" w:hAnsi="Times New Roman" w:cs="Times New Roman"/>
          <w:szCs w:val="19"/>
          <w:lang w:eastAsia="ru-RU"/>
        </w:rPr>
        <w:t>Исполнитель:</w:t>
      </w:r>
    </w:p>
    <w:p w:rsidR="00FA3D67" w:rsidRPr="00FA3D67" w:rsidRDefault="00843762" w:rsidP="0003412B">
      <w:pPr>
        <w:spacing w:after="0" w:line="0" w:lineRule="atLeast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>
        <w:rPr>
          <w:rFonts w:ascii="Times New Roman" w:eastAsia="Times New Roman" w:hAnsi="Times New Roman" w:cs="Times New Roman"/>
          <w:szCs w:val="19"/>
          <w:lang w:eastAsia="ru-RU"/>
        </w:rPr>
        <w:t xml:space="preserve">Аудитор </w:t>
      </w:r>
      <w:r w:rsidR="00FA3D67" w:rsidRPr="00FA3D67">
        <w:rPr>
          <w:rFonts w:ascii="Times New Roman" w:eastAsia="Times New Roman" w:hAnsi="Times New Roman" w:cs="Times New Roman"/>
          <w:szCs w:val="19"/>
          <w:lang w:eastAsia="ru-RU"/>
        </w:rPr>
        <w:t>Стрельникова О.В.</w:t>
      </w:r>
    </w:p>
    <w:p w:rsidR="00FA3D67" w:rsidRPr="00FA3D67" w:rsidRDefault="00FA3D67" w:rsidP="00FA3D67">
      <w:pPr>
        <w:spacing w:after="0" w:line="240" w:lineRule="auto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A3D67" w:rsidRPr="00FA3D67" w:rsidRDefault="00FA3D67" w:rsidP="00FA3D67">
      <w:pPr>
        <w:spacing w:after="0" w:line="240" w:lineRule="auto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</w:p>
    <w:p w:rsidR="00FA3D67" w:rsidRPr="00FA3D67" w:rsidRDefault="00FA3D67" w:rsidP="00FA3D67">
      <w:pPr>
        <w:spacing w:after="0" w:line="240" w:lineRule="auto"/>
        <w:jc w:val="both"/>
        <w:rPr>
          <w:rFonts w:ascii="Times New Roman" w:eastAsia="Times New Roman" w:hAnsi="Times New Roman" w:cs="Times New Roman"/>
          <w:szCs w:val="19"/>
          <w:lang w:eastAsia="ru-RU"/>
        </w:rPr>
      </w:pPr>
      <w:r w:rsidRPr="00FA3D67">
        <w:rPr>
          <w:rFonts w:ascii="Times New Roman" w:eastAsia="Times New Roman" w:hAnsi="Times New Roman" w:cs="Times New Roman"/>
          <w:szCs w:val="19"/>
          <w:lang w:eastAsia="ru-RU"/>
        </w:rPr>
        <w:t>Ознакомлены:</w:t>
      </w:r>
    </w:p>
    <w:p w:rsidR="00CD183A" w:rsidRPr="00CD183A" w:rsidRDefault="00CD183A" w:rsidP="00CD183A">
      <w:pPr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B1F" w:rsidRPr="00CD183A" w:rsidRDefault="00990B1F" w:rsidP="00990B1F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</w:t>
      </w:r>
      <w:proofErr w:type="gramEnd"/>
      <w:r w:rsidRPr="00C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90B1F" w:rsidRPr="00CD183A" w:rsidRDefault="00990B1F" w:rsidP="00990B1F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Сатаев</w:t>
      </w:r>
      <w:proofErr w:type="spellEnd"/>
    </w:p>
    <w:p w:rsidR="00990B1F" w:rsidRDefault="00990B1F" w:rsidP="00CD183A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3A" w:rsidRPr="00CD183A" w:rsidRDefault="00CD183A" w:rsidP="00CD183A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CD183A" w:rsidRDefault="00CD183A" w:rsidP="00CD183A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 сельского поселения                                                    И.И.</w:t>
      </w:r>
      <w:r w:rsidR="0069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Суенбаев</w:t>
      </w:r>
      <w:proofErr w:type="spellEnd"/>
    </w:p>
    <w:p w:rsidR="00843762" w:rsidRPr="00CD183A" w:rsidRDefault="00843762" w:rsidP="00CD183A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3A" w:rsidRDefault="00CD183A" w:rsidP="00CD183A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762" w:rsidRPr="00CD183A" w:rsidRDefault="00843762" w:rsidP="00CD183A">
      <w:pPr>
        <w:tabs>
          <w:tab w:val="left" w:pos="21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Получил:_______________________________________________________</w:t>
      </w:r>
    </w:p>
    <w:sectPr w:rsidR="00843762" w:rsidRPr="00CD183A" w:rsidSect="00E97EC7">
      <w:footerReference w:type="default" r:id="rId12"/>
      <w:pgSz w:w="11906" w:h="16838"/>
      <w:pgMar w:top="851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68" w:rsidRDefault="00EC7468" w:rsidP="0052637E">
      <w:pPr>
        <w:spacing w:after="0" w:line="240" w:lineRule="auto"/>
      </w:pPr>
      <w:r>
        <w:separator/>
      </w:r>
    </w:p>
  </w:endnote>
  <w:endnote w:type="continuationSeparator" w:id="0">
    <w:p w:rsidR="00EC7468" w:rsidRDefault="00EC7468" w:rsidP="0052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688633"/>
      <w:docPartObj>
        <w:docPartGallery w:val="Page Numbers (Bottom of Page)"/>
        <w:docPartUnique/>
      </w:docPartObj>
    </w:sdtPr>
    <w:sdtEndPr/>
    <w:sdtContent>
      <w:p w:rsidR="00005C7B" w:rsidRDefault="00005C7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FA">
          <w:rPr>
            <w:noProof/>
          </w:rPr>
          <w:t>10</w:t>
        </w:r>
        <w:r>
          <w:fldChar w:fldCharType="end"/>
        </w:r>
      </w:p>
    </w:sdtContent>
  </w:sdt>
  <w:p w:rsidR="00005C7B" w:rsidRDefault="00005C7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68" w:rsidRDefault="00EC7468" w:rsidP="0052637E">
      <w:pPr>
        <w:spacing w:after="0" w:line="240" w:lineRule="auto"/>
      </w:pPr>
      <w:r>
        <w:separator/>
      </w:r>
    </w:p>
  </w:footnote>
  <w:footnote w:type="continuationSeparator" w:id="0">
    <w:p w:rsidR="00EC7468" w:rsidRDefault="00EC7468" w:rsidP="0052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9A8"/>
    <w:multiLevelType w:val="hybridMultilevel"/>
    <w:tmpl w:val="870EC0CA"/>
    <w:lvl w:ilvl="0" w:tplc="81E2550E">
      <w:start w:val="2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21753AB9"/>
    <w:multiLevelType w:val="hybridMultilevel"/>
    <w:tmpl w:val="6980B500"/>
    <w:lvl w:ilvl="0" w:tplc="24182964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7E040E"/>
    <w:multiLevelType w:val="singleLevel"/>
    <w:tmpl w:val="9634C158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F2148F"/>
    <w:multiLevelType w:val="hybridMultilevel"/>
    <w:tmpl w:val="5768C69E"/>
    <w:lvl w:ilvl="0" w:tplc="2AC2B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A70EC"/>
    <w:multiLevelType w:val="hybridMultilevel"/>
    <w:tmpl w:val="FA4AA45E"/>
    <w:lvl w:ilvl="0" w:tplc="AA92230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A2164C7"/>
    <w:multiLevelType w:val="hybridMultilevel"/>
    <w:tmpl w:val="E44E253C"/>
    <w:lvl w:ilvl="0" w:tplc="B99ACF9A">
      <w:numFmt w:val="bullet"/>
      <w:lvlText w:val="-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C4463DC"/>
    <w:multiLevelType w:val="hybridMultilevel"/>
    <w:tmpl w:val="59B87C00"/>
    <w:lvl w:ilvl="0" w:tplc="A608F18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D10E45"/>
    <w:multiLevelType w:val="hybridMultilevel"/>
    <w:tmpl w:val="9B963360"/>
    <w:lvl w:ilvl="0" w:tplc="BC1CF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86298"/>
    <w:multiLevelType w:val="hybridMultilevel"/>
    <w:tmpl w:val="500C3DA4"/>
    <w:lvl w:ilvl="0" w:tplc="AD7289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6E5D63"/>
    <w:multiLevelType w:val="hybridMultilevel"/>
    <w:tmpl w:val="09A2F562"/>
    <w:lvl w:ilvl="0" w:tplc="22206C1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6B1FDD"/>
    <w:multiLevelType w:val="hybridMultilevel"/>
    <w:tmpl w:val="0BE0CA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D72009"/>
    <w:multiLevelType w:val="hybridMultilevel"/>
    <w:tmpl w:val="63728394"/>
    <w:lvl w:ilvl="0" w:tplc="3DB6CA3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74B02F1"/>
    <w:multiLevelType w:val="hybridMultilevel"/>
    <w:tmpl w:val="61FC658C"/>
    <w:lvl w:ilvl="0" w:tplc="FF1EF11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75C0F80"/>
    <w:multiLevelType w:val="hybridMultilevel"/>
    <w:tmpl w:val="C400A8AC"/>
    <w:lvl w:ilvl="0" w:tplc="FEF4A13A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7707B17"/>
    <w:multiLevelType w:val="hybridMultilevel"/>
    <w:tmpl w:val="FDC07C3A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94119"/>
    <w:multiLevelType w:val="hybridMultilevel"/>
    <w:tmpl w:val="45A66E36"/>
    <w:lvl w:ilvl="0" w:tplc="ACE68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A5950"/>
    <w:multiLevelType w:val="hybridMultilevel"/>
    <w:tmpl w:val="A810E74C"/>
    <w:lvl w:ilvl="0" w:tplc="AE9AB4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F7439"/>
    <w:multiLevelType w:val="hybridMultilevel"/>
    <w:tmpl w:val="A956F20E"/>
    <w:lvl w:ilvl="0" w:tplc="523645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27E1"/>
    <w:multiLevelType w:val="multilevel"/>
    <w:tmpl w:val="062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E11E07"/>
    <w:multiLevelType w:val="hybridMultilevel"/>
    <w:tmpl w:val="41B4EE14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F779C"/>
    <w:multiLevelType w:val="multilevel"/>
    <w:tmpl w:val="D286DC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0A25E6"/>
    <w:multiLevelType w:val="hybridMultilevel"/>
    <w:tmpl w:val="6038ACA0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F4981"/>
    <w:multiLevelType w:val="multilevel"/>
    <w:tmpl w:val="02C21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22753"/>
    <w:multiLevelType w:val="hybridMultilevel"/>
    <w:tmpl w:val="5B02EC8A"/>
    <w:lvl w:ilvl="0" w:tplc="E55456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326068"/>
    <w:multiLevelType w:val="hybridMultilevel"/>
    <w:tmpl w:val="5E00801C"/>
    <w:lvl w:ilvl="0" w:tplc="F30CA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BA4316"/>
    <w:multiLevelType w:val="hybridMultilevel"/>
    <w:tmpl w:val="E8745902"/>
    <w:lvl w:ilvl="0" w:tplc="8C9CDD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ACB3389"/>
    <w:multiLevelType w:val="hybridMultilevel"/>
    <w:tmpl w:val="0F00D830"/>
    <w:lvl w:ilvl="0" w:tplc="1D70B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71BF1"/>
    <w:multiLevelType w:val="hybridMultilevel"/>
    <w:tmpl w:val="70EA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02572"/>
    <w:multiLevelType w:val="hybridMultilevel"/>
    <w:tmpl w:val="710E9C8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35C7"/>
    <w:multiLevelType w:val="hybridMultilevel"/>
    <w:tmpl w:val="AF2820DC"/>
    <w:lvl w:ilvl="0" w:tplc="3CDC4D3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E50648"/>
    <w:multiLevelType w:val="hybridMultilevel"/>
    <w:tmpl w:val="E216F2C0"/>
    <w:lvl w:ilvl="0" w:tplc="A2505EA8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E974AE8"/>
    <w:multiLevelType w:val="hybridMultilevel"/>
    <w:tmpl w:val="AD88ADE2"/>
    <w:lvl w:ilvl="0" w:tplc="E144A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6A4E16"/>
    <w:multiLevelType w:val="hybridMultilevel"/>
    <w:tmpl w:val="B6B49C0C"/>
    <w:lvl w:ilvl="0" w:tplc="AD7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20"/>
  </w:num>
  <w:num w:numId="6">
    <w:abstractNumId w:val="2"/>
  </w:num>
  <w:num w:numId="7">
    <w:abstractNumId w:val="13"/>
  </w:num>
  <w:num w:numId="8">
    <w:abstractNumId w:val="0"/>
  </w:num>
  <w:num w:numId="9">
    <w:abstractNumId w:val="24"/>
  </w:num>
  <w:num w:numId="10">
    <w:abstractNumId w:val="31"/>
  </w:num>
  <w:num w:numId="11">
    <w:abstractNumId w:val="25"/>
  </w:num>
  <w:num w:numId="12">
    <w:abstractNumId w:val="16"/>
  </w:num>
  <w:num w:numId="13">
    <w:abstractNumId w:val="30"/>
  </w:num>
  <w:num w:numId="14">
    <w:abstractNumId w:val="12"/>
  </w:num>
  <w:num w:numId="15">
    <w:abstractNumId w:val="29"/>
  </w:num>
  <w:num w:numId="16">
    <w:abstractNumId w:val="10"/>
  </w:num>
  <w:num w:numId="17">
    <w:abstractNumId w:val="5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7"/>
  </w:num>
  <w:num w:numId="22">
    <w:abstractNumId w:val="1"/>
  </w:num>
  <w:num w:numId="23">
    <w:abstractNumId w:val="9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6"/>
  </w:num>
  <w:num w:numId="28">
    <w:abstractNumId w:val="17"/>
  </w:num>
  <w:num w:numId="29">
    <w:abstractNumId w:val="14"/>
  </w:num>
  <w:num w:numId="30">
    <w:abstractNumId w:val="28"/>
  </w:num>
  <w:num w:numId="31">
    <w:abstractNumId w:val="32"/>
  </w:num>
  <w:num w:numId="32">
    <w:abstractNumId w:val="8"/>
  </w:num>
  <w:num w:numId="33">
    <w:abstractNumId w:val="19"/>
  </w:num>
  <w:num w:numId="34">
    <w:abstractNumId w:val="2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5"/>
    <w:rsid w:val="00005C7B"/>
    <w:rsid w:val="00025C34"/>
    <w:rsid w:val="00030DE8"/>
    <w:rsid w:val="0003412B"/>
    <w:rsid w:val="00034ACB"/>
    <w:rsid w:val="000652EF"/>
    <w:rsid w:val="00073635"/>
    <w:rsid w:val="000A5C72"/>
    <w:rsid w:val="000C3259"/>
    <w:rsid w:val="000C5F80"/>
    <w:rsid w:val="000D3ADC"/>
    <w:rsid w:val="000F3792"/>
    <w:rsid w:val="000F555D"/>
    <w:rsid w:val="0010607D"/>
    <w:rsid w:val="00122FC5"/>
    <w:rsid w:val="00125FEF"/>
    <w:rsid w:val="00134071"/>
    <w:rsid w:val="00134268"/>
    <w:rsid w:val="00134EC2"/>
    <w:rsid w:val="00142DE3"/>
    <w:rsid w:val="00146C3B"/>
    <w:rsid w:val="00160447"/>
    <w:rsid w:val="00167071"/>
    <w:rsid w:val="001741C7"/>
    <w:rsid w:val="00197907"/>
    <w:rsid w:val="001B19C3"/>
    <w:rsid w:val="001D34EB"/>
    <w:rsid w:val="001D78C6"/>
    <w:rsid w:val="001E427E"/>
    <w:rsid w:val="001F5DC0"/>
    <w:rsid w:val="00214B79"/>
    <w:rsid w:val="002201DB"/>
    <w:rsid w:val="00240917"/>
    <w:rsid w:val="00272AA5"/>
    <w:rsid w:val="00281C95"/>
    <w:rsid w:val="00294492"/>
    <w:rsid w:val="002A14C2"/>
    <w:rsid w:val="002B2619"/>
    <w:rsid w:val="002C474E"/>
    <w:rsid w:val="002D68F3"/>
    <w:rsid w:val="002D6D2E"/>
    <w:rsid w:val="00316CC4"/>
    <w:rsid w:val="00320E04"/>
    <w:rsid w:val="003277BD"/>
    <w:rsid w:val="00333B80"/>
    <w:rsid w:val="003341E3"/>
    <w:rsid w:val="003535F0"/>
    <w:rsid w:val="0036219F"/>
    <w:rsid w:val="0036280E"/>
    <w:rsid w:val="00366595"/>
    <w:rsid w:val="00367BDC"/>
    <w:rsid w:val="00373A15"/>
    <w:rsid w:val="003A35BA"/>
    <w:rsid w:val="003A3845"/>
    <w:rsid w:val="003A77A5"/>
    <w:rsid w:val="003B00E5"/>
    <w:rsid w:val="003B2B04"/>
    <w:rsid w:val="003D0D07"/>
    <w:rsid w:val="003E2486"/>
    <w:rsid w:val="003E337B"/>
    <w:rsid w:val="003E3922"/>
    <w:rsid w:val="003F1EC3"/>
    <w:rsid w:val="00403B65"/>
    <w:rsid w:val="004146BA"/>
    <w:rsid w:val="0042603E"/>
    <w:rsid w:val="00426B7A"/>
    <w:rsid w:val="00430032"/>
    <w:rsid w:val="004319FF"/>
    <w:rsid w:val="00454B8E"/>
    <w:rsid w:val="0046259C"/>
    <w:rsid w:val="00467803"/>
    <w:rsid w:val="004714C1"/>
    <w:rsid w:val="00472233"/>
    <w:rsid w:val="00472E9A"/>
    <w:rsid w:val="004C0D6D"/>
    <w:rsid w:val="004C6CF5"/>
    <w:rsid w:val="004D16A6"/>
    <w:rsid w:val="004E0186"/>
    <w:rsid w:val="004E1F1C"/>
    <w:rsid w:val="00504D9A"/>
    <w:rsid w:val="005064AC"/>
    <w:rsid w:val="00511BA5"/>
    <w:rsid w:val="005259B2"/>
    <w:rsid w:val="0052637E"/>
    <w:rsid w:val="00531969"/>
    <w:rsid w:val="00546E80"/>
    <w:rsid w:val="00555196"/>
    <w:rsid w:val="00573FAD"/>
    <w:rsid w:val="00580860"/>
    <w:rsid w:val="00585253"/>
    <w:rsid w:val="00586400"/>
    <w:rsid w:val="005A77EA"/>
    <w:rsid w:val="005B4149"/>
    <w:rsid w:val="005C0E60"/>
    <w:rsid w:val="005D2173"/>
    <w:rsid w:val="005E6CB9"/>
    <w:rsid w:val="005F7A65"/>
    <w:rsid w:val="0061012F"/>
    <w:rsid w:val="00653687"/>
    <w:rsid w:val="006615CC"/>
    <w:rsid w:val="0066395E"/>
    <w:rsid w:val="00664D84"/>
    <w:rsid w:val="00670600"/>
    <w:rsid w:val="006732ED"/>
    <w:rsid w:val="00680616"/>
    <w:rsid w:val="006842CD"/>
    <w:rsid w:val="006922E3"/>
    <w:rsid w:val="00695736"/>
    <w:rsid w:val="00697901"/>
    <w:rsid w:val="006A000F"/>
    <w:rsid w:val="006A35D0"/>
    <w:rsid w:val="006C089E"/>
    <w:rsid w:val="006C37EC"/>
    <w:rsid w:val="006D1643"/>
    <w:rsid w:val="006D201C"/>
    <w:rsid w:val="006E1013"/>
    <w:rsid w:val="006F0788"/>
    <w:rsid w:val="006F1540"/>
    <w:rsid w:val="006F691D"/>
    <w:rsid w:val="00702D0A"/>
    <w:rsid w:val="00712FC6"/>
    <w:rsid w:val="00726BB5"/>
    <w:rsid w:val="007272B6"/>
    <w:rsid w:val="0074301B"/>
    <w:rsid w:val="00754DCD"/>
    <w:rsid w:val="00760EE5"/>
    <w:rsid w:val="0077060F"/>
    <w:rsid w:val="007717DA"/>
    <w:rsid w:val="00782700"/>
    <w:rsid w:val="007B776D"/>
    <w:rsid w:val="007D1ECF"/>
    <w:rsid w:val="007D6E7E"/>
    <w:rsid w:val="007E0CFD"/>
    <w:rsid w:val="00800032"/>
    <w:rsid w:val="00843762"/>
    <w:rsid w:val="0086565F"/>
    <w:rsid w:val="00875261"/>
    <w:rsid w:val="00893670"/>
    <w:rsid w:val="008B0E58"/>
    <w:rsid w:val="008C41BC"/>
    <w:rsid w:val="008C7CBC"/>
    <w:rsid w:val="008D0A2E"/>
    <w:rsid w:val="008D1F91"/>
    <w:rsid w:val="008E542F"/>
    <w:rsid w:val="00923D3D"/>
    <w:rsid w:val="0092493A"/>
    <w:rsid w:val="00937B22"/>
    <w:rsid w:val="009436FD"/>
    <w:rsid w:val="009449D8"/>
    <w:rsid w:val="00957ECA"/>
    <w:rsid w:val="0098009D"/>
    <w:rsid w:val="00982AD2"/>
    <w:rsid w:val="00985B91"/>
    <w:rsid w:val="00990B1F"/>
    <w:rsid w:val="00992846"/>
    <w:rsid w:val="00995A2C"/>
    <w:rsid w:val="00996497"/>
    <w:rsid w:val="009A28B0"/>
    <w:rsid w:val="009A5DA2"/>
    <w:rsid w:val="009B376B"/>
    <w:rsid w:val="009D2039"/>
    <w:rsid w:val="009F0A6B"/>
    <w:rsid w:val="009F2F45"/>
    <w:rsid w:val="009F3721"/>
    <w:rsid w:val="009F5FB9"/>
    <w:rsid w:val="00A043FE"/>
    <w:rsid w:val="00A3180B"/>
    <w:rsid w:val="00A349AA"/>
    <w:rsid w:val="00A804D0"/>
    <w:rsid w:val="00A8133F"/>
    <w:rsid w:val="00AA25CE"/>
    <w:rsid w:val="00AA7D9C"/>
    <w:rsid w:val="00AB1521"/>
    <w:rsid w:val="00AD776A"/>
    <w:rsid w:val="00AE6126"/>
    <w:rsid w:val="00AE6E16"/>
    <w:rsid w:val="00B2114D"/>
    <w:rsid w:val="00B408C3"/>
    <w:rsid w:val="00B4268B"/>
    <w:rsid w:val="00B51641"/>
    <w:rsid w:val="00B51DAB"/>
    <w:rsid w:val="00BA2B7E"/>
    <w:rsid w:val="00BA675C"/>
    <w:rsid w:val="00BB263C"/>
    <w:rsid w:val="00BD418D"/>
    <w:rsid w:val="00BD51A2"/>
    <w:rsid w:val="00BF3D47"/>
    <w:rsid w:val="00BF578F"/>
    <w:rsid w:val="00BF5B74"/>
    <w:rsid w:val="00C07DB8"/>
    <w:rsid w:val="00C11E91"/>
    <w:rsid w:val="00C13FFC"/>
    <w:rsid w:val="00C33030"/>
    <w:rsid w:val="00C33237"/>
    <w:rsid w:val="00C351DD"/>
    <w:rsid w:val="00C55429"/>
    <w:rsid w:val="00C77884"/>
    <w:rsid w:val="00C77C63"/>
    <w:rsid w:val="00C77E0C"/>
    <w:rsid w:val="00C83645"/>
    <w:rsid w:val="00CA24C8"/>
    <w:rsid w:val="00CA3B92"/>
    <w:rsid w:val="00CA54DA"/>
    <w:rsid w:val="00CB2980"/>
    <w:rsid w:val="00CB5151"/>
    <w:rsid w:val="00CD183A"/>
    <w:rsid w:val="00CD6ADC"/>
    <w:rsid w:val="00CF712D"/>
    <w:rsid w:val="00D12489"/>
    <w:rsid w:val="00D24F60"/>
    <w:rsid w:val="00D325A9"/>
    <w:rsid w:val="00D3394C"/>
    <w:rsid w:val="00D33FF2"/>
    <w:rsid w:val="00D350A4"/>
    <w:rsid w:val="00D63CF0"/>
    <w:rsid w:val="00D71570"/>
    <w:rsid w:val="00DA384C"/>
    <w:rsid w:val="00DA7600"/>
    <w:rsid w:val="00DC3A15"/>
    <w:rsid w:val="00DC58E0"/>
    <w:rsid w:val="00DC7535"/>
    <w:rsid w:val="00DE19CD"/>
    <w:rsid w:val="00DE3BCC"/>
    <w:rsid w:val="00E00CC6"/>
    <w:rsid w:val="00E0593C"/>
    <w:rsid w:val="00E0619D"/>
    <w:rsid w:val="00E102DA"/>
    <w:rsid w:val="00E54D4B"/>
    <w:rsid w:val="00E67FB2"/>
    <w:rsid w:val="00E8058B"/>
    <w:rsid w:val="00E90830"/>
    <w:rsid w:val="00E91110"/>
    <w:rsid w:val="00E942C7"/>
    <w:rsid w:val="00E97EC7"/>
    <w:rsid w:val="00EB3C71"/>
    <w:rsid w:val="00EC464F"/>
    <w:rsid w:val="00EC7468"/>
    <w:rsid w:val="00ED7464"/>
    <w:rsid w:val="00ED7695"/>
    <w:rsid w:val="00EF186F"/>
    <w:rsid w:val="00EF42DD"/>
    <w:rsid w:val="00F03436"/>
    <w:rsid w:val="00F052CE"/>
    <w:rsid w:val="00F06123"/>
    <w:rsid w:val="00F50B88"/>
    <w:rsid w:val="00F5193F"/>
    <w:rsid w:val="00F530F4"/>
    <w:rsid w:val="00F552C1"/>
    <w:rsid w:val="00F71FD4"/>
    <w:rsid w:val="00F75832"/>
    <w:rsid w:val="00F820B6"/>
    <w:rsid w:val="00F8430A"/>
    <w:rsid w:val="00F84461"/>
    <w:rsid w:val="00F87A78"/>
    <w:rsid w:val="00FA3D67"/>
    <w:rsid w:val="00FD25FA"/>
    <w:rsid w:val="00FD56E0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8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80E"/>
    <w:pPr>
      <w:keepNext/>
      <w:tabs>
        <w:tab w:val="left" w:pos="9180"/>
      </w:tabs>
      <w:spacing w:after="0" w:line="240" w:lineRule="auto"/>
      <w:ind w:right="224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28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28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62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280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280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280E"/>
    <w:pPr>
      <w:keepNext/>
      <w:spacing w:after="0" w:line="240" w:lineRule="auto"/>
      <w:ind w:left="450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28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8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80E"/>
  </w:style>
  <w:style w:type="paragraph" w:styleId="a3">
    <w:name w:val="Title"/>
    <w:basedOn w:val="a"/>
    <w:link w:val="a4"/>
    <w:qFormat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28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62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6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628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5"/>
    <w:rsid w:val="0036280E"/>
    <w:pPr>
      <w:ind w:firstLine="720"/>
    </w:pPr>
    <w:rPr>
      <w:sz w:val="28"/>
    </w:rPr>
  </w:style>
  <w:style w:type="character" w:styleId="ab">
    <w:name w:val="page number"/>
    <w:basedOn w:val="a0"/>
    <w:semiHidden/>
    <w:rsid w:val="0036280E"/>
  </w:style>
  <w:style w:type="paragraph" w:styleId="ac">
    <w:name w:val="header"/>
    <w:basedOn w:val="a"/>
    <w:link w:val="ad"/>
    <w:semiHidden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2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semiHidden/>
    <w:rsid w:val="0036280E"/>
    <w:rPr>
      <w:color w:val="0000FF"/>
      <w:u w:val="single"/>
    </w:rPr>
  </w:style>
  <w:style w:type="character" w:customStyle="1" w:styleId="af1">
    <w:name w:val="Гипертекстовая ссылка"/>
    <w:rsid w:val="0036280E"/>
    <w:rPr>
      <w:color w:val="008000"/>
      <w:szCs w:val="20"/>
      <w:u w:val="single"/>
    </w:rPr>
  </w:style>
  <w:style w:type="paragraph" w:customStyle="1" w:styleId="af2">
    <w:name w:val="Комментарий"/>
    <w:basedOn w:val="a"/>
    <w:next w:val="a"/>
    <w:rsid w:val="003628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3628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62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362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semiHidden/>
    <w:rsid w:val="0036280E"/>
    <w:pPr>
      <w:spacing w:after="0" w:line="240" w:lineRule="auto"/>
      <w:ind w:firstLine="36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sPlusTitle">
    <w:name w:val="ConsPlusTitle"/>
    <w:rsid w:val="00362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2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62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280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6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7D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D3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1B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8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280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280E"/>
    <w:pPr>
      <w:keepNext/>
      <w:tabs>
        <w:tab w:val="left" w:pos="9180"/>
      </w:tabs>
      <w:spacing w:after="0" w:line="240" w:lineRule="auto"/>
      <w:ind w:right="224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628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628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6280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6280E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6280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280E"/>
    <w:pPr>
      <w:keepNext/>
      <w:spacing w:after="0" w:line="240" w:lineRule="auto"/>
      <w:ind w:left="4500"/>
      <w:jc w:val="both"/>
      <w:outlineLvl w:val="8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80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2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28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28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280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80E"/>
  </w:style>
  <w:style w:type="paragraph" w:styleId="a3">
    <w:name w:val="Title"/>
    <w:basedOn w:val="a"/>
    <w:link w:val="a4"/>
    <w:qFormat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28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362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28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628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36280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36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36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6280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62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36280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5"/>
    <w:rsid w:val="0036280E"/>
    <w:pPr>
      <w:ind w:firstLine="720"/>
    </w:pPr>
    <w:rPr>
      <w:sz w:val="28"/>
    </w:rPr>
  </w:style>
  <w:style w:type="character" w:styleId="ab">
    <w:name w:val="page number"/>
    <w:basedOn w:val="a0"/>
    <w:semiHidden/>
    <w:rsid w:val="0036280E"/>
  </w:style>
  <w:style w:type="paragraph" w:styleId="ac">
    <w:name w:val="header"/>
    <w:basedOn w:val="a"/>
    <w:link w:val="ad"/>
    <w:semiHidden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62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3628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6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62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62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semiHidden/>
    <w:rsid w:val="0036280E"/>
    <w:rPr>
      <w:color w:val="0000FF"/>
      <w:u w:val="single"/>
    </w:rPr>
  </w:style>
  <w:style w:type="character" w:customStyle="1" w:styleId="af1">
    <w:name w:val="Гипертекстовая ссылка"/>
    <w:rsid w:val="0036280E"/>
    <w:rPr>
      <w:color w:val="008000"/>
      <w:szCs w:val="20"/>
      <w:u w:val="single"/>
    </w:rPr>
  </w:style>
  <w:style w:type="paragraph" w:customStyle="1" w:styleId="af2">
    <w:name w:val="Комментарий"/>
    <w:basedOn w:val="a"/>
    <w:next w:val="a"/>
    <w:rsid w:val="0036280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3">
    <w:name w:val="Document Map"/>
    <w:basedOn w:val="a"/>
    <w:link w:val="af4"/>
    <w:semiHidden/>
    <w:rsid w:val="0036280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3"/>
    <w:semiHidden/>
    <w:rsid w:val="003628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0">
    <w:name w:val="Основной текст 21"/>
    <w:basedOn w:val="a"/>
    <w:rsid w:val="003628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basedOn w:val="a"/>
    <w:semiHidden/>
    <w:rsid w:val="0036280E"/>
    <w:pPr>
      <w:spacing w:after="0" w:line="240" w:lineRule="auto"/>
      <w:ind w:firstLine="36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ConsPlusTitle">
    <w:name w:val="ConsPlusTitle"/>
    <w:rsid w:val="00362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28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628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6280E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3628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9">
    <w:name w:val="Table Grid"/>
    <w:basedOn w:val="a1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6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9"/>
    <w:uiPriority w:val="59"/>
    <w:rsid w:val="007D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9"/>
    <w:uiPriority w:val="59"/>
    <w:rsid w:val="00D3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C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9"/>
    <w:uiPriority w:val="59"/>
    <w:rsid w:val="001B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Доходы Магнитного сельского поселения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2100</c:v>
                </c:pt>
                <c:pt idx="1">
                  <c:v>2350</c:v>
                </c:pt>
                <c:pt idx="2">
                  <c:v>2427.8000000000002</c:v>
                </c:pt>
                <c:pt idx="3">
                  <c:v>2615.1999999999998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32</c:v>
                </c:pt>
                <c:pt idx="1">
                  <c:v>126</c:v>
                </c:pt>
                <c:pt idx="2">
                  <c:v>126</c:v>
                </c:pt>
                <c:pt idx="3">
                  <c:v>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2022 год</c:v>
                </c:pt>
                <c:pt idx="1">
                  <c:v>2023 год</c:v>
                </c:pt>
                <c:pt idx="2">
                  <c:v>2024 год</c:v>
                </c:pt>
                <c:pt idx="3">
                  <c:v>2025 год</c:v>
                </c:pt>
              </c:strCache>
            </c:strRef>
          </c:cat>
          <c:val>
            <c:numRef>
              <c:f>Лист1!$D$2:$D$5</c:f>
              <c:numCache>
                <c:formatCode>0.00</c:formatCode>
                <c:ptCount val="4"/>
                <c:pt idx="0">
                  <c:v>30772.3</c:v>
                </c:pt>
                <c:pt idx="1">
                  <c:v>14715.8</c:v>
                </c:pt>
                <c:pt idx="2">
                  <c:v>3822.9</c:v>
                </c:pt>
                <c:pt idx="3">
                  <c:v>4148.88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793856"/>
        <c:axId val="195945216"/>
        <c:axId val="175779840"/>
      </c:bar3DChart>
      <c:catAx>
        <c:axId val="15679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945216"/>
        <c:crosses val="autoZero"/>
        <c:auto val="1"/>
        <c:lblAlgn val="ctr"/>
        <c:lblOffset val="100"/>
        <c:noMultiLvlLbl val="0"/>
      </c:catAx>
      <c:valAx>
        <c:axId val="195945216"/>
        <c:scaling>
          <c:orientation val="minMax"/>
        </c:scaling>
        <c:delete val="0"/>
        <c:axPos val="l"/>
        <c:majorGridlines/>
        <c:title>
          <c:overlay val="0"/>
        </c:title>
        <c:numFmt formatCode="0.00" sourceLinked="1"/>
        <c:majorTickMark val="none"/>
        <c:minorTickMark val="none"/>
        <c:tickLblPos val="nextTo"/>
        <c:crossAx val="156793856"/>
        <c:crosses val="autoZero"/>
        <c:crossBetween val="between"/>
      </c:valAx>
      <c:serAx>
        <c:axId val="175779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5945216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1CE1-9E63-43DD-BB22-DA8D0220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Zinchenko</dc:creator>
  <cp:lastModifiedBy>Zinchenko</cp:lastModifiedBy>
  <cp:revision>84</cp:revision>
  <cp:lastPrinted>2022-12-13T11:16:00Z</cp:lastPrinted>
  <dcterms:created xsi:type="dcterms:W3CDTF">2021-12-08T05:11:00Z</dcterms:created>
  <dcterms:modified xsi:type="dcterms:W3CDTF">2022-12-13T11:18:00Z</dcterms:modified>
</cp:coreProperties>
</file>