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1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5"/>
        <w:gridCol w:w="5656"/>
      </w:tblGrid>
      <w:tr w:rsidR="0005729B" w:rsidRPr="0005729B" w:rsidTr="004000FD">
        <w:trPr>
          <w:trHeight w:val="211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9B" w:rsidRPr="0005729B" w:rsidRDefault="0005729B" w:rsidP="004000FD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29B" w:rsidRPr="0005729B" w:rsidRDefault="0005729B" w:rsidP="004000FD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29B" w:rsidRPr="0005729B" w:rsidRDefault="0005729B" w:rsidP="004000FD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</w:p>
          <w:p w:rsidR="0005729B" w:rsidRPr="0005729B" w:rsidRDefault="0005729B" w:rsidP="004000FD">
            <w:pPr>
              <w:spacing w:after="0" w:line="0" w:lineRule="atLeast"/>
              <w:ind w:left="1896" w:right="9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Глава  Агаповского муниципального района</w:t>
            </w:r>
          </w:p>
          <w:p w:rsidR="0005729B" w:rsidRPr="0005729B" w:rsidRDefault="0005729B" w:rsidP="004000FD">
            <w:pPr>
              <w:spacing w:after="0" w:line="0" w:lineRule="atLeast"/>
              <w:ind w:right="9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spacing w:after="0" w:line="0" w:lineRule="atLeast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_____________ Б.Н. </w:t>
            </w:r>
            <w:proofErr w:type="spell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Тайбергенов</w:t>
            </w:r>
            <w:proofErr w:type="spell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729B" w:rsidRPr="0005729B" w:rsidRDefault="0005729B" w:rsidP="004000FD">
            <w:pPr>
              <w:spacing w:after="0" w:line="0" w:lineRule="atLeast"/>
              <w:ind w:left="2146" w:right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МП              </w:t>
            </w:r>
          </w:p>
          <w:p w:rsidR="0005729B" w:rsidRPr="0005729B" w:rsidRDefault="0005729B" w:rsidP="004000FD">
            <w:pPr>
              <w:spacing w:after="0" w:line="0" w:lineRule="atLeast"/>
              <w:ind w:left="2146" w:right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05729B" w:rsidRPr="0005729B" w:rsidRDefault="0005729B" w:rsidP="004000FD">
            <w:pPr>
              <w:spacing w:after="0" w:line="0" w:lineRule="atLeast"/>
              <w:ind w:left="2146" w:right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  <w:p w:rsidR="0005729B" w:rsidRPr="0005729B" w:rsidRDefault="0005729B" w:rsidP="004000FD">
            <w:pPr>
              <w:spacing w:after="0" w:line="0" w:lineRule="atLeast"/>
              <w:ind w:right="9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9B" w:rsidRPr="0005729B" w:rsidRDefault="0005729B" w:rsidP="004000FD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5729B" w:rsidRPr="0005729B" w:rsidRDefault="0005729B" w:rsidP="004000FD">
            <w:pPr>
              <w:spacing w:after="0" w:line="160" w:lineRule="exact"/>
              <w:ind w:left="2209" w:right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05729B">
            <w:pPr>
              <w:spacing w:after="0" w:line="16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29B" w:rsidRPr="0005729B" w:rsidRDefault="0005729B" w:rsidP="004000FD">
            <w:pPr>
              <w:spacing w:after="0" w:line="16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</w:p>
          <w:p w:rsidR="0005729B" w:rsidRPr="0005729B" w:rsidRDefault="0005729B" w:rsidP="004000FD">
            <w:pPr>
              <w:spacing w:after="0" w:line="160" w:lineRule="exact"/>
              <w:ind w:left="1946" w:right="9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КФС </w:t>
            </w:r>
            <w:proofErr w:type="spell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иМП</w:t>
            </w:r>
            <w:proofErr w:type="spellEnd"/>
          </w:p>
          <w:p w:rsidR="0005729B" w:rsidRPr="0005729B" w:rsidRDefault="0005729B" w:rsidP="004000FD">
            <w:pPr>
              <w:spacing w:after="0" w:line="160" w:lineRule="exact"/>
              <w:ind w:right="9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spacing w:after="0" w:line="160" w:lineRule="exact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Pr="0005729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__________ А.В.Мирошин</w:t>
            </w:r>
          </w:p>
          <w:p w:rsidR="0005729B" w:rsidRPr="0005729B" w:rsidRDefault="0005729B" w:rsidP="004000F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М.</w:t>
            </w: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05729B" w:rsidRPr="0005729B" w:rsidRDefault="0005729B" w:rsidP="004000FD">
            <w:pPr>
              <w:spacing w:after="0" w:line="16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05729B" w:rsidRPr="0005729B" w:rsidRDefault="0005729B" w:rsidP="004000FD">
            <w:pPr>
              <w:spacing w:after="0" w:line="16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05729B" w:rsidRPr="0005729B" w:rsidRDefault="0005729B" w:rsidP="004000FD">
            <w:pPr>
              <w:spacing w:after="0" w:line="16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05729B" w:rsidRPr="0005729B" w:rsidRDefault="0005729B" w:rsidP="004000FD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5729B" w:rsidRPr="0005729B" w:rsidRDefault="0005729B" w:rsidP="0003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5729B" w:rsidRPr="0005729B" w:rsidRDefault="0005729B" w:rsidP="0003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5729B" w:rsidRPr="0005729B" w:rsidRDefault="0005729B" w:rsidP="0003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36DF9" w:rsidRPr="0005729B" w:rsidRDefault="00036DF9" w:rsidP="0003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729B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электронного аукциона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036DF9" w:rsidRPr="0005729B" w:rsidTr="004000FD">
        <w:tc>
          <w:tcPr>
            <w:tcW w:w="2000" w:type="pct"/>
            <w:vAlign w:val="center"/>
            <w:hideMark/>
          </w:tcPr>
          <w:p w:rsidR="00036DF9" w:rsidRPr="0005729B" w:rsidRDefault="00036DF9" w:rsidP="0040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vAlign w:val="center"/>
            <w:hideMark/>
          </w:tcPr>
          <w:p w:rsidR="00036DF9" w:rsidRPr="0005729B" w:rsidRDefault="00036DF9" w:rsidP="0040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для офисной техники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ЗАО «</w:t>
            </w:r>
            <w:proofErr w:type="spellStart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Сбербанк-АСТ</w:t>
            </w:r>
            <w:proofErr w:type="spellEnd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http://www.sberbank-ast.ru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Уполномоченный орган в качестве Организатора совместного аукциона </w:t>
            </w: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УПРАВЛЕНИЕ ПО ИМУЩЕСТВУ И ЗЕМЕЛЬНЫМ ОТНОШЕНИЯМ АГАПОВСКОГО МУНИЦИПАЛЬНОГО РАЙОНА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ПО ИМУЩЕСТВУ И ЗЕМЕЛЬНЫМ ОТНОШЕНИЯМ АГАПОВСКОГО МУНИЦИПАЛЬНОГО РАЙОНА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457400, Челябинская </w:t>
            </w:r>
            <w:proofErr w:type="spellStart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Агаповский</w:t>
            </w:r>
            <w:proofErr w:type="spellEnd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р-н, Агаповка с, УЛ ДОРОЖНАЯ, 32</w:t>
            </w:r>
            <w:proofErr w:type="gramStart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457400, Челябинская </w:t>
            </w:r>
            <w:proofErr w:type="spellStart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Агаповский</w:t>
            </w:r>
            <w:proofErr w:type="spellEnd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р-н, Агаповка с, УЛ ДОРОЖНАЯ, 32</w:t>
            </w:r>
            <w:proofErr w:type="gramStart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Акшенцева</w:t>
            </w:r>
            <w:proofErr w:type="spellEnd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Людмила Анатольевна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zakup_agap@mail.ru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8-35140-21333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8-35140-20264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отсутствует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отсутствует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«_</w:t>
            </w:r>
            <w:r w:rsidR="00DA27D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_»___</w:t>
            </w:r>
            <w:r w:rsidR="00DA27D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___2020 в _</w:t>
            </w:r>
            <w:r w:rsidR="00DA27D7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__ч_</w:t>
            </w:r>
            <w:r w:rsidR="00DA27D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__мин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http://www.sberbank-ast.ru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ст.66 ФЗ-44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  <w:proofErr w:type="gramStart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«_</w:t>
            </w:r>
            <w:r w:rsidR="00DA27D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__»____</w:t>
            </w:r>
            <w:r w:rsidR="00DA27D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__2020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«__</w:t>
            </w:r>
            <w:r w:rsidR="00DA27D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_»__</w:t>
            </w:r>
            <w:r w:rsidR="00DA27D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____2020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отсутствует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155 337,00 Российский рубль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Идентификационные коды закупки</w:t>
            </w: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203742500298474550100100860001712244</w:t>
            </w:r>
          </w:p>
          <w:p w:rsidR="00036DF9" w:rsidRPr="0005729B" w:rsidRDefault="00036DF9" w:rsidP="00036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203742575786574550100100110001712244</w:t>
            </w: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DF9" w:rsidRPr="0005729B" w:rsidTr="004000FD">
        <w:tc>
          <w:tcPr>
            <w:tcW w:w="0" w:type="auto"/>
            <w:gridSpan w:val="2"/>
            <w:vAlign w:val="center"/>
            <w:hideMark/>
          </w:tcPr>
          <w:p w:rsidR="00036DF9" w:rsidRPr="0005729B" w:rsidRDefault="00036DF9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DF9" w:rsidRPr="0005729B" w:rsidTr="004000FD">
        <w:tc>
          <w:tcPr>
            <w:tcW w:w="0" w:type="auto"/>
            <w:gridSpan w:val="2"/>
            <w:vAlign w:val="center"/>
            <w:hideMark/>
          </w:tcPr>
          <w:p w:rsidR="00036DF9" w:rsidRPr="0005729B" w:rsidRDefault="00036DF9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DF9" w:rsidRPr="0005729B" w:rsidTr="004000FD"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36DF9" w:rsidRPr="0005729B" w:rsidRDefault="00036DF9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36DF9" w:rsidRPr="0005729B" w:rsidRDefault="00036DF9">
      <w:pPr>
        <w:rPr>
          <w:rFonts w:ascii="Times New Roman" w:hAnsi="Times New Roman" w:cs="Times New Roman"/>
          <w:sz w:val="18"/>
          <w:szCs w:val="18"/>
        </w:rPr>
      </w:pPr>
    </w:p>
    <w:p w:rsidR="00036DF9" w:rsidRPr="0005729B" w:rsidRDefault="00036DF9">
      <w:pPr>
        <w:rPr>
          <w:rFonts w:ascii="Times New Roman" w:hAnsi="Times New Roman" w:cs="Times New Roman"/>
          <w:sz w:val="18"/>
          <w:szCs w:val="18"/>
        </w:rPr>
      </w:pPr>
    </w:p>
    <w:p w:rsidR="00036DF9" w:rsidRDefault="00036DF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729B" w:rsidRDefault="0005729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729B" w:rsidRDefault="0005729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729B" w:rsidRDefault="0005729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729B" w:rsidRPr="0005729B" w:rsidRDefault="0005729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36DF9" w:rsidRPr="0005729B" w:rsidRDefault="00036DF9">
      <w:pPr>
        <w:rPr>
          <w:rFonts w:ascii="Times New Roman" w:hAnsi="Times New Roman" w:cs="Times New Roman"/>
          <w:sz w:val="18"/>
          <w:szCs w:val="18"/>
        </w:rPr>
      </w:pPr>
      <w:r w:rsidRPr="0005729B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Требования заказчиков</w:t>
      </w:r>
    </w:p>
    <w:p w:rsidR="00036DF9" w:rsidRPr="0005729B" w:rsidRDefault="00036DF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132" w:type="pct"/>
        <w:tblLayout w:type="fixed"/>
        <w:tblCellMar>
          <w:left w:w="0" w:type="dxa"/>
          <w:right w:w="0" w:type="dxa"/>
        </w:tblCellMar>
        <w:tblLook w:val="04A0"/>
      </w:tblPr>
      <w:tblGrid>
        <w:gridCol w:w="2939"/>
        <w:gridCol w:w="1632"/>
        <w:gridCol w:w="1143"/>
        <w:gridCol w:w="436"/>
        <w:gridCol w:w="542"/>
        <w:gridCol w:w="1326"/>
        <w:gridCol w:w="2918"/>
        <w:gridCol w:w="120"/>
      </w:tblGrid>
      <w:tr w:rsidR="00036DF9" w:rsidRPr="0005729B" w:rsidTr="0005729B">
        <w:trPr>
          <w:gridAfter w:val="1"/>
          <w:wAfter w:w="120" w:type="dxa"/>
        </w:trPr>
        <w:tc>
          <w:tcPr>
            <w:tcW w:w="6151" w:type="dxa"/>
            <w:gridSpan w:val="4"/>
            <w:vAlign w:val="center"/>
            <w:hideMark/>
          </w:tcPr>
          <w:p w:rsidR="00036DF9" w:rsidRPr="0005729B" w:rsidRDefault="00036DF9" w:rsidP="00036DF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57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АДМИНИСТРАЦИЯ АГАПОВСКОГО МУНИЦИПАЛЬНОГО РАЙОНА</w:t>
            </w:r>
          </w:p>
          <w:p w:rsidR="00036DF9" w:rsidRPr="0005729B" w:rsidRDefault="00036DF9" w:rsidP="00036DF9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gridSpan w:val="3"/>
            <w:vAlign w:val="center"/>
            <w:hideMark/>
          </w:tcPr>
          <w:p w:rsidR="00036DF9" w:rsidRPr="0005729B" w:rsidRDefault="00036DF9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3457" w:rsidRPr="0005729B" w:rsidTr="0005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89"/>
        </w:trPr>
        <w:tc>
          <w:tcPr>
            <w:tcW w:w="2940" w:type="dxa"/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ОКПД 2/ КТРУ</w:t>
            </w:r>
          </w:p>
        </w:tc>
        <w:tc>
          <w:tcPr>
            <w:tcW w:w="1632" w:type="dxa"/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78" w:type="dxa"/>
            <w:gridSpan w:val="2"/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057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057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НМЦК, руб./</w:t>
            </w:r>
            <w:proofErr w:type="spellStart"/>
            <w:proofErr w:type="gramStart"/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038" w:type="dxa"/>
            <w:gridSpan w:val="2"/>
            <w:tcBorders>
              <w:left w:val="single" w:sz="4" w:space="0" w:color="auto"/>
            </w:tcBorders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Сумма, руб.</w:t>
            </w:r>
          </w:p>
        </w:tc>
      </w:tr>
      <w:tr w:rsidR="00243457" w:rsidRPr="0005729B" w:rsidTr="0005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68"/>
        </w:trPr>
        <w:tc>
          <w:tcPr>
            <w:tcW w:w="2940" w:type="dxa"/>
            <w:tcBorders>
              <w:bottom w:val="single" w:sz="4" w:space="0" w:color="auto"/>
            </w:tcBorders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17.12.14.129       </w:t>
            </w:r>
            <w:r w:rsidRPr="000572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/</w:t>
            </w:r>
          </w:p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>17.12.14.129-00000025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43457" w:rsidRPr="0005729B" w:rsidRDefault="00243457" w:rsidP="00036DF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Бумага печатная прочая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>пачек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>238,98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>143 388,00</w:t>
            </w:r>
          </w:p>
        </w:tc>
      </w:tr>
      <w:tr w:rsidR="00243457" w:rsidRPr="0005729B" w:rsidTr="0005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940" w:type="dxa"/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</w:tcPr>
          <w:p w:rsidR="00243457" w:rsidRPr="0005729B" w:rsidRDefault="00243457" w:rsidP="00036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8" w:type="dxa"/>
            <w:gridSpan w:val="2"/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8" w:type="dxa"/>
            <w:gridSpan w:val="2"/>
            <w:tcBorders>
              <w:left w:val="single" w:sz="4" w:space="0" w:color="auto"/>
            </w:tcBorders>
          </w:tcPr>
          <w:p w:rsidR="00243457" w:rsidRPr="0005729B" w:rsidRDefault="00243457" w:rsidP="00036D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>143 388,00</w:t>
            </w: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6151" w:type="dxa"/>
            <w:gridSpan w:val="4"/>
            <w:vAlign w:val="center"/>
            <w:hideMark/>
          </w:tcPr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gridSpan w:val="3"/>
            <w:vAlign w:val="center"/>
            <w:hideMark/>
          </w:tcPr>
          <w:p w:rsidR="00243457" w:rsidRPr="0005729B" w:rsidRDefault="00243457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10937" w:type="dxa"/>
            <w:gridSpan w:val="7"/>
            <w:vAlign w:val="center"/>
            <w:hideMark/>
          </w:tcPr>
          <w:p w:rsidR="00243457" w:rsidRPr="0005729B" w:rsidRDefault="00243457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6151" w:type="dxa"/>
            <w:gridSpan w:val="4"/>
            <w:vAlign w:val="center"/>
            <w:hideMark/>
          </w:tcPr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gridSpan w:val="3"/>
            <w:vAlign w:val="center"/>
            <w:hideMark/>
          </w:tcPr>
          <w:p w:rsidR="00243457" w:rsidRPr="0005729B" w:rsidRDefault="00243457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10937" w:type="dxa"/>
            <w:gridSpan w:val="7"/>
            <w:vAlign w:val="center"/>
            <w:hideMark/>
          </w:tcPr>
          <w:p w:rsidR="00243457" w:rsidRPr="0005729B" w:rsidRDefault="00243457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6151" w:type="dxa"/>
            <w:gridSpan w:val="4"/>
            <w:vAlign w:val="center"/>
            <w:hideMark/>
          </w:tcPr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786" w:type="dxa"/>
            <w:gridSpan w:val="3"/>
            <w:vAlign w:val="center"/>
            <w:hideMark/>
          </w:tcPr>
          <w:p w:rsidR="00243457" w:rsidRPr="0005729B" w:rsidRDefault="00243457" w:rsidP="0024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6151" w:type="dxa"/>
            <w:gridSpan w:val="4"/>
            <w:vAlign w:val="center"/>
            <w:hideMark/>
          </w:tcPr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доставки товара, выполнения работы или оказания услуги</w:t>
            </w:r>
          </w:p>
        </w:tc>
        <w:tc>
          <w:tcPr>
            <w:tcW w:w="4786" w:type="dxa"/>
            <w:gridSpan w:val="3"/>
            <w:vAlign w:val="center"/>
            <w:hideMark/>
          </w:tcPr>
          <w:p w:rsidR="00243457" w:rsidRPr="0005729B" w:rsidRDefault="00243457" w:rsidP="0024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Бюджет Агаповского муниципального района, в пределах лимита бюджетных обязательств на 2020 год.  </w:t>
            </w: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Челябинская </w:t>
            </w:r>
            <w:proofErr w:type="spellStart"/>
            <w:proofErr w:type="gramStart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Агаповский</w:t>
            </w:r>
            <w:proofErr w:type="spellEnd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р-н, Агаповка с, ул. Дорожная 32</w:t>
            </w: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6151" w:type="dxa"/>
            <w:gridSpan w:val="4"/>
            <w:vAlign w:val="center"/>
            <w:hideMark/>
          </w:tcPr>
          <w:p w:rsidR="00243457" w:rsidRPr="0005729B" w:rsidRDefault="00243457" w:rsidP="0024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поставки товара </w:t>
            </w:r>
          </w:p>
        </w:tc>
        <w:tc>
          <w:tcPr>
            <w:tcW w:w="4786" w:type="dxa"/>
            <w:gridSpan w:val="3"/>
            <w:vAlign w:val="center"/>
            <w:hideMark/>
          </w:tcPr>
          <w:p w:rsidR="00243457" w:rsidRPr="0005729B" w:rsidRDefault="00243457" w:rsidP="0024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15 календарных  дней с момента подписания контракта</w:t>
            </w: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6151" w:type="dxa"/>
            <w:gridSpan w:val="4"/>
            <w:vAlign w:val="center"/>
            <w:hideMark/>
          </w:tcPr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заявок</w:t>
            </w:r>
          </w:p>
        </w:tc>
        <w:tc>
          <w:tcPr>
            <w:tcW w:w="4786" w:type="dxa"/>
            <w:gridSpan w:val="3"/>
            <w:vAlign w:val="center"/>
            <w:hideMark/>
          </w:tcPr>
          <w:p w:rsidR="00243457" w:rsidRPr="0005729B" w:rsidRDefault="00243457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заявок не требуется</w:t>
            </w: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6151" w:type="dxa"/>
            <w:gridSpan w:val="4"/>
            <w:vAlign w:val="center"/>
            <w:hideMark/>
          </w:tcPr>
          <w:p w:rsidR="00243457" w:rsidRPr="0005729B" w:rsidRDefault="00243457" w:rsidP="0024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исполнения контракта</w:t>
            </w: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gridSpan w:val="3"/>
            <w:vAlign w:val="center"/>
            <w:hideMark/>
          </w:tcPr>
          <w:p w:rsidR="00243457" w:rsidRPr="0005729B" w:rsidRDefault="00243457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3457" w:rsidRPr="0005729B" w:rsidRDefault="00243457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3457" w:rsidRPr="0005729B" w:rsidRDefault="00243457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3457" w:rsidRPr="0005729B" w:rsidRDefault="00243457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6151" w:type="dxa"/>
            <w:gridSpan w:val="4"/>
            <w:vAlign w:val="center"/>
            <w:hideMark/>
          </w:tcPr>
          <w:p w:rsidR="00243457" w:rsidRPr="0005729B" w:rsidRDefault="00243457" w:rsidP="00243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gridSpan w:val="3"/>
            <w:vAlign w:val="center"/>
            <w:hideMark/>
          </w:tcPr>
          <w:p w:rsidR="00243457" w:rsidRPr="0005729B" w:rsidRDefault="00243457" w:rsidP="00243457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OLE_LINK13"/>
            <w:bookmarkStart w:id="1" w:name="OLE_LINK14"/>
            <w:r w:rsidRPr="0005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Размер обеспечения исполнения контракта устанавливается в размере  </w:t>
            </w:r>
            <w:r w:rsidRPr="000572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5% от цены, по которой заключается контракт, но не может составлять менее чем размер аванса</w:t>
            </w:r>
            <w:proofErr w:type="gramStart"/>
            <w:r w:rsidRPr="000572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 w:rsidRPr="000572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05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05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05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соответствии с ч.6 ст.96 Федерального закона от 05.04.2013 N 44-ФЗ)</w:t>
            </w:r>
            <w:bookmarkEnd w:id="0"/>
            <w:bookmarkEnd w:id="1"/>
            <w:r w:rsidRPr="0005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либо </w:t>
            </w:r>
          </w:p>
          <w:p w:rsidR="00243457" w:rsidRPr="0005729B" w:rsidRDefault="00243457" w:rsidP="0024345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закупки, с которым заключается контракт по результатам определения поставщика (подрядчика, исполнителя) в соответствии с </w:t>
            </w:r>
            <w:hyperlink r:id="rId5" w:history="1">
              <w:r w:rsidRPr="000572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пунктом 1 части 1 статьи 30</w:t>
              </w:r>
            </w:hyperlink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Федерального закона, освобождается от предоставления обеспечения исполнения контракта, в том числе с учетом положений </w:t>
            </w:r>
            <w:hyperlink r:id="rId6" w:history="1">
              <w:r w:rsidRPr="000572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статьи 37</w:t>
              </w:r>
            </w:hyperlink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Федерального закона,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</w:t>
            </w: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менее начальной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 цены контракта, указанной в извещении об осуществлении закупки и документации о закупке.</w:t>
            </w:r>
          </w:p>
          <w:p w:rsidR="00243457" w:rsidRPr="0005729B" w:rsidRDefault="00243457" w:rsidP="002434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29B">
              <w:rPr>
                <w:rFonts w:ascii="Times New Roman" w:eastAsia="Arial" w:hAnsi="Times New Roman" w:cs="Times New Roman"/>
                <w:sz w:val="18"/>
                <w:szCs w:val="18"/>
              </w:rPr>
              <w:t>Согласно пункту 27 статьи 34 Федерального закона от 05.04.2013 N 44-ФЗ денежные средства возвращаются Исполнителю, с которым заключен контракт, не позднее 15 дней со дня исполнения обязательств</w:t>
            </w:r>
          </w:p>
          <w:p w:rsidR="00243457" w:rsidRPr="0005729B" w:rsidRDefault="00243457" w:rsidP="002434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3457" w:rsidRPr="0005729B" w:rsidRDefault="00243457" w:rsidP="00243457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Согласно пункту 27 статьи 34 Федерального закона от </w:t>
            </w:r>
            <w:r w:rsidRPr="0005729B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05.04.2013 N 44-ФЗ денежные средства возвращаются Исполнителю, с которым заключен контракт, не позднее 15 дней со дня исполнения обязательств.</w:t>
            </w:r>
          </w:p>
          <w:p w:rsidR="00243457" w:rsidRPr="0005729B" w:rsidRDefault="00243457" w:rsidP="00243457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243457" w:rsidRPr="0005729B" w:rsidRDefault="00243457" w:rsidP="0024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3457" w:rsidRPr="0005729B" w:rsidRDefault="00243457" w:rsidP="0024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6151" w:type="dxa"/>
            <w:gridSpan w:val="4"/>
            <w:vAlign w:val="center"/>
            <w:hideMark/>
          </w:tcPr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gridSpan w:val="3"/>
            <w:vAlign w:val="center"/>
            <w:hideMark/>
          </w:tcPr>
          <w:p w:rsidR="00243457" w:rsidRPr="0005729B" w:rsidRDefault="00243457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6151" w:type="dxa"/>
            <w:gridSpan w:val="4"/>
            <w:vAlign w:val="center"/>
            <w:hideMark/>
          </w:tcPr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gridSpan w:val="3"/>
            <w:vAlign w:val="center"/>
            <w:hideMark/>
          </w:tcPr>
          <w:p w:rsidR="00243457" w:rsidRPr="0005729B" w:rsidRDefault="00243457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6151" w:type="dxa"/>
            <w:gridSpan w:val="4"/>
            <w:vAlign w:val="center"/>
            <w:hideMark/>
          </w:tcPr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gridSpan w:val="3"/>
            <w:vAlign w:val="center"/>
            <w:hideMark/>
          </w:tcPr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6151" w:type="dxa"/>
            <w:gridSpan w:val="4"/>
            <w:vAlign w:val="center"/>
            <w:hideMark/>
          </w:tcPr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счета Заказчика,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tc>
          <w:tcPr>
            <w:tcW w:w="4786" w:type="dxa"/>
            <w:gridSpan w:val="3"/>
            <w:vAlign w:val="center"/>
            <w:hideMark/>
          </w:tcPr>
          <w:p w:rsidR="001778F0" w:rsidRPr="0005729B" w:rsidRDefault="001778F0" w:rsidP="001778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Агаповского муниципального района (</w:t>
            </w:r>
            <w:r w:rsidRPr="0005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Агаповского муниципального района л/с 05351402304ВР</w:t>
            </w: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/с 40302810272335091336 (средства, поступающие во временное распоряжение бюджетным организациям) в Челябинском отделении № 8597 г. Челябинск </w:t>
            </w:r>
          </w:p>
          <w:p w:rsidR="001778F0" w:rsidRPr="0005729B" w:rsidRDefault="001778F0" w:rsidP="001778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/ счет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30101810700000000602 </w:t>
            </w:r>
          </w:p>
          <w:p w:rsidR="001778F0" w:rsidRPr="0005729B" w:rsidRDefault="001778F0" w:rsidP="001778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БИК 047501602</w:t>
            </w:r>
          </w:p>
          <w:p w:rsidR="001778F0" w:rsidRPr="0005729B" w:rsidRDefault="001778F0" w:rsidP="001778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ИНН 7425745549</w:t>
            </w:r>
          </w:p>
          <w:p w:rsidR="00243457" w:rsidRPr="0005729B" w:rsidRDefault="001778F0" w:rsidP="0017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КПП745501001</w:t>
            </w: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6151" w:type="dxa"/>
            <w:gridSpan w:val="4"/>
            <w:vAlign w:val="center"/>
            <w:hideMark/>
          </w:tcPr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гарантийных обязательств</w:t>
            </w: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gridSpan w:val="3"/>
            <w:vAlign w:val="center"/>
            <w:hideMark/>
          </w:tcPr>
          <w:p w:rsidR="00243457" w:rsidRPr="0005729B" w:rsidRDefault="00243457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гарантийных обязательств не требуется</w:t>
            </w:r>
          </w:p>
          <w:p w:rsidR="00243457" w:rsidRPr="0005729B" w:rsidRDefault="00243457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6151" w:type="dxa"/>
            <w:gridSpan w:val="4"/>
            <w:vAlign w:val="center"/>
            <w:hideMark/>
          </w:tcPr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gridSpan w:val="3"/>
            <w:vAlign w:val="center"/>
            <w:hideMark/>
          </w:tcPr>
          <w:p w:rsidR="00243457" w:rsidRPr="0005729B" w:rsidRDefault="00243457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10937" w:type="dxa"/>
            <w:gridSpan w:val="7"/>
            <w:vAlign w:val="center"/>
            <w:hideMark/>
          </w:tcPr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Информация о </w:t>
            </w:r>
            <w:proofErr w:type="gramStart"/>
            <w:r w:rsidRPr="000572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банковском</w:t>
            </w:r>
            <w:proofErr w:type="gramEnd"/>
            <w:r w:rsidRPr="000572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(или)                         </w:t>
            </w:r>
            <w:r w:rsidR="001778F0" w:rsidRPr="000572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</w:t>
            </w:r>
            <w:r w:rsidRPr="000572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не требуется</w:t>
            </w: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казначейском </w:t>
            </w:r>
            <w:proofErr w:type="gramStart"/>
            <w:r w:rsidRPr="000572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сопровождении</w:t>
            </w:r>
            <w:proofErr w:type="gramEnd"/>
            <w:r w:rsidRPr="000572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контракта</w:t>
            </w:r>
          </w:p>
        </w:tc>
      </w:tr>
      <w:tr w:rsidR="00243457" w:rsidRPr="0005729B" w:rsidTr="0005729B">
        <w:trPr>
          <w:gridAfter w:val="1"/>
          <w:wAfter w:w="120" w:type="dxa"/>
        </w:trPr>
        <w:tc>
          <w:tcPr>
            <w:tcW w:w="10937" w:type="dxa"/>
            <w:gridSpan w:val="7"/>
            <w:vAlign w:val="center"/>
            <w:hideMark/>
          </w:tcPr>
          <w:p w:rsidR="001778F0" w:rsidRPr="0005729B" w:rsidRDefault="001778F0" w:rsidP="00057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3457" w:rsidRPr="0005729B" w:rsidRDefault="00243457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718B6" w:rsidRPr="0005729B" w:rsidRDefault="001778F0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05729B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05729B">
        <w:rPr>
          <w:rFonts w:ascii="Times New Roman" w:eastAsia="Times New Roman" w:hAnsi="Times New Roman" w:cs="Times New Roman"/>
          <w:b/>
          <w:sz w:val="18"/>
          <w:szCs w:val="18"/>
        </w:rPr>
        <w:t xml:space="preserve">МУНИЦИПАЛЬНОЕ УЧРЕЖДЕНИЕ                                                   </w:t>
      </w:r>
      <w:r w:rsidR="0005729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</w:t>
      </w:r>
      <w:r w:rsidRPr="0005729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"КОМИТЕТ ПО ФИЗИЧЕСКОЙ КУЛЬТУРЕ,                                                                       </w:t>
      </w:r>
      <w:r w:rsidR="0005729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</w:t>
      </w:r>
      <w:r w:rsidRPr="0005729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СПОРТУ И МОЛОДЕЖНОЙ ПОЛИТИКЕ                                                           </w:t>
      </w:r>
      <w:r w:rsidR="0005729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</w:t>
      </w:r>
      <w:r w:rsidRPr="0005729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АДМИНИСТРАЦИИ АГАПОВСКОГО </w:t>
      </w:r>
      <w:r w:rsidR="0005729B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05729B">
        <w:rPr>
          <w:rFonts w:ascii="Times New Roman" w:eastAsia="Times New Roman" w:hAnsi="Times New Roman" w:cs="Times New Roman"/>
          <w:b/>
          <w:sz w:val="18"/>
          <w:szCs w:val="18"/>
        </w:rPr>
        <w:t xml:space="preserve">  МУНИЦИПАЛЬНОГО РАЙОНА"</w:t>
      </w: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8"/>
        <w:gridCol w:w="1465"/>
        <w:gridCol w:w="1139"/>
        <w:gridCol w:w="943"/>
        <w:gridCol w:w="553"/>
        <w:gridCol w:w="1353"/>
        <w:gridCol w:w="2977"/>
        <w:gridCol w:w="8"/>
      </w:tblGrid>
      <w:tr w:rsidR="001778F0" w:rsidRPr="0005729B" w:rsidTr="0005729B">
        <w:trPr>
          <w:trHeight w:val="789"/>
        </w:trPr>
        <w:tc>
          <w:tcPr>
            <w:tcW w:w="2727" w:type="dxa"/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ОКПД 2/ КТРУ</w:t>
            </w:r>
          </w:p>
        </w:tc>
        <w:tc>
          <w:tcPr>
            <w:tcW w:w="1465" w:type="dxa"/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96" w:type="dxa"/>
            <w:gridSpan w:val="2"/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057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057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НМЦК, руб./</w:t>
            </w:r>
            <w:proofErr w:type="spellStart"/>
            <w:proofErr w:type="gramStart"/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85" w:type="dxa"/>
            <w:gridSpan w:val="2"/>
            <w:tcBorders>
              <w:left w:val="single" w:sz="4" w:space="0" w:color="auto"/>
            </w:tcBorders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Сумма, руб.</w:t>
            </w:r>
          </w:p>
        </w:tc>
      </w:tr>
      <w:tr w:rsidR="001778F0" w:rsidRPr="0005729B" w:rsidTr="0005729B">
        <w:trPr>
          <w:trHeight w:val="1268"/>
        </w:trPr>
        <w:tc>
          <w:tcPr>
            <w:tcW w:w="2727" w:type="dxa"/>
            <w:tcBorders>
              <w:bottom w:val="single" w:sz="4" w:space="0" w:color="auto"/>
            </w:tcBorders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17.12.14.129       </w:t>
            </w:r>
            <w:r w:rsidRPr="000572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/</w:t>
            </w:r>
          </w:p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>17.12.14.129-00000025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1778F0" w:rsidRPr="0005729B" w:rsidRDefault="001778F0" w:rsidP="004000F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Бумага печатная прочая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>пачек</w:t>
            </w: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>238,98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>11 949,00</w:t>
            </w:r>
          </w:p>
        </w:tc>
      </w:tr>
      <w:tr w:rsidR="001778F0" w:rsidRPr="0005729B" w:rsidTr="0005729B">
        <w:tc>
          <w:tcPr>
            <w:tcW w:w="2727" w:type="dxa"/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:rsidR="001778F0" w:rsidRPr="0005729B" w:rsidRDefault="001778F0" w:rsidP="004000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</w:tcBorders>
          </w:tcPr>
          <w:p w:rsidR="001778F0" w:rsidRPr="0005729B" w:rsidRDefault="001778F0" w:rsidP="004000F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>11 949,00</w:t>
            </w: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6274" w:type="dxa"/>
            <w:gridSpan w:val="4"/>
            <w:vAlign w:val="center"/>
            <w:hideMark/>
          </w:tcPr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gridSpan w:val="3"/>
            <w:vAlign w:val="center"/>
            <w:hideMark/>
          </w:tcPr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11157" w:type="dxa"/>
            <w:gridSpan w:val="7"/>
            <w:vAlign w:val="center"/>
            <w:hideMark/>
          </w:tcPr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6274" w:type="dxa"/>
            <w:gridSpan w:val="4"/>
            <w:vAlign w:val="center"/>
            <w:hideMark/>
          </w:tcPr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gridSpan w:val="3"/>
            <w:vAlign w:val="center"/>
            <w:hideMark/>
          </w:tcPr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11157" w:type="dxa"/>
            <w:gridSpan w:val="7"/>
            <w:vAlign w:val="center"/>
            <w:hideMark/>
          </w:tcPr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6274" w:type="dxa"/>
            <w:gridSpan w:val="4"/>
            <w:vAlign w:val="center"/>
            <w:hideMark/>
          </w:tcPr>
          <w:p w:rsidR="001778F0" w:rsidRPr="0005729B" w:rsidRDefault="001778F0" w:rsidP="00057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883" w:type="dxa"/>
            <w:gridSpan w:val="3"/>
            <w:vAlign w:val="center"/>
            <w:hideMark/>
          </w:tcPr>
          <w:p w:rsidR="001778F0" w:rsidRPr="0005729B" w:rsidRDefault="001778F0" w:rsidP="004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6274" w:type="dxa"/>
            <w:gridSpan w:val="4"/>
            <w:vAlign w:val="center"/>
            <w:hideMark/>
          </w:tcPr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доставки товара, выполнения работы или оказания услуги</w:t>
            </w:r>
          </w:p>
        </w:tc>
        <w:tc>
          <w:tcPr>
            <w:tcW w:w="4883" w:type="dxa"/>
            <w:gridSpan w:val="3"/>
            <w:vAlign w:val="center"/>
            <w:hideMark/>
          </w:tcPr>
          <w:p w:rsidR="001778F0" w:rsidRPr="0005729B" w:rsidRDefault="001778F0" w:rsidP="004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Бюджет Агаповского муниципального района, в пределах лимита бюджетных обязательств на 2020 год.  </w:t>
            </w: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Челябинская </w:t>
            </w:r>
            <w:proofErr w:type="spellStart"/>
            <w:proofErr w:type="gramStart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Агаповский</w:t>
            </w:r>
            <w:proofErr w:type="spellEnd"/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р-н, Агаповка с, ул. Дорожная 32</w:t>
            </w: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6274" w:type="dxa"/>
            <w:gridSpan w:val="4"/>
            <w:vAlign w:val="center"/>
            <w:hideMark/>
          </w:tcPr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поставки товара </w:t>
            </w:r>
          </w:p>
        </w:tc>
        <w:tc>
          <w:tcPr>
            <w:tcW w:w="4883" w:type="dxa"/>
            <w:gridSpan w:val="3"/>
            <w:vAlign w:val="center"/>
            <w:hideMark/>
          </w:tcPr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15 календарных  дней с момента подписания контракта</w:t>
            </w: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6274" w:type="dxa"/>
            <w:gridSpan w:val="4"/>
            <w:vAlign w:val="center"/>
            <w:hideMark/>
          </w:tcPr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Обеспечение заявок</w:t>
            </w:r>
          </w:p>
        </w:tc>
        <w:tc>
          <w:tcPr>
            <w:tcW w:w="4883" w:type="dxa"/>
            <w:gridSpan w:val="3"/>
            <w:vAlign w:val="center"/>
            <w:hideMark/>
          </w:tcPr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заявок не требуется</w:t>
            </w: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6274" w:type="dxa"/>
            <w:gridSpan w:val="4"/>
            <w:vAlign w:val="center"/>
            <w:hideMark/>
          </w:tcPr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исполнения контракта</w:t>
            </w: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gridSpan w:val="3"/>
            <w:vAlign w:val="center"/>
            <w:hideMark/>
          </w:tcPr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6274" w:type="dxa"/>
            <w:gridSpan w:val="4"/>
            <w:vAlign w:val="center"/>
            <w:hideMark/>
          </w:tcPr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gridSpan w:val="3"/>
            <w:vAlign w:val="center"/>
            <w:hideMark/>
          </w:tcPr>
          <w:p w:rsidR="001778F0" w:rsidRPr="0005729B" w:rsidRDefault="001778F0" w:rsidP="004000F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Размер обеспечения исполнения контракта устанавливается в размере  </w:t>
            </w:r>
            <w:r w:rsidRPr="000572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5% от цены, по которой заключается контракт, но не может составлять менее чем размер аванса</w:t>
            </w:r>
            <w:proofErr w:type="gramStart"/>
            <w:r w:rsidRPr="000572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 w:rsidRPr="000572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05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05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05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соответствии с ч.6 ст.96 Федерального закона от 05.04.2013 N 44-ФЗ), либо </w:t>
            </w:r>
          </w:p>
          <w:p w:rsidR="001778F0" w:rsidRPr="0005729B" w:rsidRDefault="001778F0" w:rsidP="004000F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закупки, с которым заключается контракт по результатам определения поставщика (подрядчика, исполнителя) в соответствии с </w:t>
            </w:r>
            <w:hyperlink r:id="rId7" w:history="1">
              <w:r w:rsidRPr="000572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пунктом 1 части 1 статьи 30</w:t>
              </w:r>
            </w:hyperlink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Федерального закона, освобождается от предоставления обеспечения исполнения контракта, в том числе с учетом положений </w:t>
            </w:r>
            <w:hyperlink r:id="rId8" w:history="1">
              <w:r w:rsidRPr="000572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статьи 37</w:t>
              </w:r>
            </w:hyperlink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Федерального закона,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</w:t>
            </w: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менее начальной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 цены контракта, указанной в извещении об осуществлении закупки и документации о закупке.</w:t>
            </w:r>
          </w:p>
          <w:p w:rsidR="001778F0" w:rsidRPr="0005729B" w:rsidRDefault="001778F0" w:rsidP="004000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29B">
              <w:rPr>
                <w:rFonts w:ascii="Times New Roman" w:eastAsia="Arial" w:hAnsi="Times New Roman" w:cs="Times New Roman"/>
                <w:sz w:val="18"/>
                <w:szCs w:val="18"/>
              </w:rPr>
              <w:t>Согласно пункту 27 статьи 34 Федерального закона от 05.04.2013 N 44-ФЗ денежные средства возвращаются Исполнителю, с которым заключен контракт, не позднее 15 дней со дня исполнения обязательств</w:t>
            </w:r>
          </w:p>
          <w:p w:rsidR="001778F0" w:rsidRPr="0005729B" w:rsidRDefault="001778F0" w:rsidP="004000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Arial" w:hAnsi="Times New Roman" w:cs="Times New Roman"/>
                <w:sz w:val="18"/>
                <w:szCs w:val="18"/>
              </w:rPr>
              <w:t>Согласно пункту 27 статьи 34 Федерального закона от 05.04.2013 N 44-ФЗ денежные средства возвращаются Исполнителю, с которым заключен контракт, не позднее 15 дней со дня исполнения обязательств.</w:t>
            </w:r>
          </w:p>
          <w:p w:rsidR="001778F0" w:rsidRPr="0005729B" w:rsidRDefault="001778F0" w:rsidP="004000FD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6274" w:type="dxa"/>
            <w:gridSpan w:val="4"/>
            <w:vAlign w:val="center"/>
            <w:hideMark/>
          </w:tcPr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gridSpan w:val="3"/>
            <w:vAlign w:val="center"/>
            <w:hideMark/>
          </w:tcPr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6274" w:type="dxa"/>
            <w:gridSpan w:val="4"/>
            <w:vAlign w:val="center"/>
            <w:hideMark/>
          </w:tcPr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gridSpan w:val="3"/>
            <w:vAlign w:val="center"/>
            <w:hideMark/>
          </w:tcPr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6274" w:type="dxa"/>
            <w:gridSpan w:val="4"/>
            <w:vAlign w:val="center"/>
            <w:hideMark/>
          </w:tcPr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gridSpan w:val="3"/>
            <w:vAlign w:val="center"/>
            <w:hideMark/>
          </w:tcPr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6274" w:type="dxa"/>
            <w:gridSpan w:val="4"/>
            <w:vAlign w:val="center"/>
            <w:hideMark/>
          </w:tcPr>
          <w:p w:rsidR="001778F0" w:rsidRPr="0005729B" w:rsidRDefault="001778F0" w:rsidP="00057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счета Заказчика,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tc>
          <w:tcPr>
            <w:tcW w:w="4883" w:type="dxa"/>
            <w:gridSpan w:val="3"/>
            <w:vAlign w:val="center"/>
            <w:hideMark/>
          </w:tcPr>
          <w:p w:rsidR="001778F0" w:rsidRPr="0005729B" w:rsidRDefault="001778F0" w:rsidP="001778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Агаповского муниципального района (</w:t>
            </w:r>
            <w:r w:rsidRPr="0005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Агаповского муниципального района л/с 05351402304ВР</w:t>
            </w: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/с 40302810272335091336 (средства, поступающие во временное распоряжение бюджетным организациям) в Челябинском отделении № 8597 г. Челябинск </w:t>
            </w:r>
          </w:p>
          <w:p w:rsidR="001778F0" w:rsidRPr="0005729B" w:rsidRDefault="001778F0" w:rsidP="001778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/ счет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30101810700000000602 </w:t>
            </w:r>
          </w:p>
          <w:p w:rsidR="001778F0" w:rsidRPr="0005729B" w:rsidRDefault="001778F0" w:rsidP="001778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БИК 047501602</w:t>
            </w:r>
          </w:p>
          <w:p w:rsidR="001778F0" w:rsidRPr="0005729B" w:rsidRDefault="001778F0" w:rsidP="001778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ИНН 7425745549</w:t>
            </w:r>
          </w:p>
          <w:p w:rsidR="001778F0" w:rsidRPr="0005729B" w:rsidRDefault="001778F0" w:rsidP="0017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КПП745501001</w:t>
            </w: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6274" w:type="dxa"/>
            <w:gridSpan w:val="4"/>
            <w:vAlign w:val="center"/>
            <w:hideMark/>
          </w:tcPr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гарантийных обязательств</w:t>
            </w: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gridSpan w:val="3"/>
            <w:vAlign w:val="center"/>
            <w:hideMark/>
          </w:tcPr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гарантийных обязательств не требуется</w:t>
            </w:r>
          </w:p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6274" w:type="dxa"/>
            <w:gridSpan w:val="4"/>
            <w:vAlign w:val="center"/>
            <w:hideMark/>
          </w:tcPr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gridSpan w:val="3"/>
            <w:vAlign w:val="center"/>
            <w:hideMark/>
          </w:tcPr>
          <w:p w:rsidR="001778F0" w:rsidRPr="0005729B" w:rsidRDefault="001778F0" w:rsidP="004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78F0" w:rsidRPr="0005729B" w:rsidTr="0005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11157" w:type="dxa"/>
            <w:gridSpan w:val="7"/>
            <w:vAlign w:val="center"/>
            <w:hideMark/>
          </w:tcPr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Информация о </w:t>
            </w:r>
            <w:proofErr w:type="gramStart"/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банковском</w:t>
            </w:r>
            <w:proofErr w:type="gramEnd"/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(или)                                                </w:t>
            </w:r>
            <w:r w:rsidRPr="000572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требуется</w:t>
            </w:r>
          </w:p>
          <w:p w:rsidR="001778F0" w:rsidRPr="0005729B" w:rsidRDefault="001778F0" w:rsidP="00400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казначейском </w:t>
            </w:r>
            <w:proofErr w:type="gramStart"/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сопровождении</w:t>
            </w:r>
            <w:proofErr w:type="gramEnd"/>
            <w:r w:rsidRPr="000572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контракта</w:t>
            </w:r>
          </w:p>
        </w:tc>
      </w:tr>
    </w:tbl>
    <w:p w:rsidR="001778F0" w:rsidRPr="0005729B" w:rsidRDefault="001778F0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778F0" w:rsidRPr="0005729B" w:rsidRDefault="001778F0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05729B">
        <w:rPr>
          <w:rFonts w:ascii="Times New Roman" w:eastAsia="Times New Roman" w:hAnsi="Times New Roman" w:cs="Times New Roman"/>
          <w:b/>
          <w:sz w:val="18"/>
          <w:szCs w:val="18"/>
        </w:rPr>
        <w:t xml:space="preserve">Преимущества и требования к участникам </w:t>
      </w:r>
    </w:p>
    <w:p w:rsidR="001778F0" w:rsidRPr="0005729B" w:rsidRDefault="001778F0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05729B">
        <w:rPr>
          <w:rFonts w:ascii="Times New Roman" w:eastAsia="Times New Roman" w:hAnsi="Times New Roman" w:cs="Times New Roman"/>
          <w:b/>
          <w:sz w:val="18"/>
          <w:szCs w:val="18"/>
        </w:rPr>
        <w:t>Преимущества                                                                               не установлены</w:t>
      </w:r>
    </w:p>
    <w:tbl>
      <w:tblPr>
        <w:tblpPr w:leftFromText="180" w:rightFromText="180" w:vertAnchor="text" w:tblpY="1"/>
        <w:tblOverlap w:val="never"/>
        <w:tblW w:w="9361" w:type="dxa"/>
        <w:tblLayout w:type="fixed"/>
        <w:tblLook w:val="04A0"/>
      </w:tblPr>
      <w:tblGrid>
        <w:gridCol w:w="3890"/>
        <w:gridCol w:w="5471"/>
      </w:tblGrid>
      <w:tr w:rsidR="001B1CC2" w:rsidRPr="0005729B" w:rsidTr="001B1CC2">
        <w:trPr>
          <w:trHeight w:val="291"/>
        </w:trPr>
        <w:tc>
          <w:tcPr>
            <w:tcW w:w="9361" w:type="dxa"/>
            <w:gridSpan w:val="2"/>
            <w:shd w:val="clear" w:color="auto" w:fill="auto"/>
          </w:tcPr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Требования к участникам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CC2" w:rsidRPr="0005729B" w:rsidTr="001B1CC2">
        <w:trPr>
          <w:trHeight w:val="291"/>
        </w:trPr>
        <w:tc>
          <w:tcPr>
            <w:tcW w:w="3890" w:type="dxa"/>
            <w:shd w:val="clear" w:color="auto" w:fill="auto"/>
          </w:tcPr>
          <w:p w:rsidR="001B1CC2" w:rsidRPr="0005729B" w:rsidRDefault="001B1CC2" w:rsidP="004000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1CC2" w:rsidRPr="0005729B" w:rsidRDefault="001B1CC2" w:rsidP="004000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Единые требования к участникам закупки, а также требование, предъявляемое к участникам аукциона в соответствии с частью 1 статьи 31 (при наличии такого требования) Федерального </w:t>
            </w:r>
          </w:p>
          <w:p w:rsidR="001B1CC2" w:rsidRPr="0005729B" w:rsidRDefault="001B1CC2" w:rsidP="004000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Cs/>
                <w:sz w:val="18"/>
                <w:szCs w:val="18"/>
              </w:rPr>
              <w:t>закона от 05.04.2013 N 44-ФЗ</w:t>
            </w:r>
          </w:p>
        </w:tc>
        <w:tc>
          <w:tcPr>
            <w:tcW w:w="5471" w:type="dxa"/>
            <w:shd w:val="clear" w:color="auto" w:fill="auto"/>
          </w:tcPr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18"/>
            <w:bookmarkStart w:id="3" w:name="OLE_LINK19"/>
            <w:bookmarkStart w:id="4" w:name="OLE_LINK20"/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являющихся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объектом закупки.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2. Не проведение ликвидации участника закупки - юридического 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лица и отсутствие решения арбитражного суда о признании участника закупки - юридического лица или индивидуального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предпринимателя несостоятельным (банкротом) и об открытии конкурсного производства.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3.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участие в закупке.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и 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5.Отсутствие у участника закупки - физического лица либо у руководителя, членов коллегиального исполнительного органа, 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лица, исполняющего функции единоличного исполнительного органа, или главного бухгалтера юридического лица - участника 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объектом осуществляемой закупки, и административного наказания в виде дисквалификации.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6.Участник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</w:t>
            </w:r>
            <w:r w:rsidRPr="00057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правонарушениях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7.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, единоличным исполнительным органом хозяйственного общества (директором, </w:t>
            </w:r>
            <w:proofErr w:type="gramEnd"/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неполнородными</w:t>
            </w:r>
            <w:proofErr w:type="spell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Под </w:t>
            </w:r>
            <w:proofErr w:type="spell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9. Участник закупки не является </w:t>
            </w:r>
            <w:proofErr w:type="spell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офшорной</w:t>
            </w:r>
            <w:proofErr w:type="spell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компанией.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10.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 функции единоличного исполнительного органа участника закупки – 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юридического лица, а также отсутствие сведений об участнике закупки в реестре недобросовестных поставщиков, сформированном в порядке, действовавшем до дня вступления в силу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11. 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dst74"/>
            <w:bookmarkEnd w:id="2"/>
            <w:bookmarkEnd w:id="3"/>
            <w:bookmarkEnd w:id="4"/>
            <w:bookmarkEnd w:id="5"/>
          </w:p>
          <w:p w:rsidR="001B1CC2" w:rsidRPr="0005729B" w:rsidRDefault="001B1CC2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CC2" w:rsidRPr="0005729B" w:rsidTr="001B1CC2">
        <w:trPr>
          <w:trHeight w:val="291"/>
        </w:trPr>
        <w:tc>
          <w:tcPr>
            <w:tcW w:w="3890" w:type="dxa"/>
            <w:shd w:val="clear" w:color="auto" w:fill="auto"/>
          </w:tcPr>
          <w:p w:rsidR="001B1CC2" w:rsidRPr="0005729B" w:rsidRDefault="001B1CC2" w:rsidP="004000F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</w:t>
            </w:r>
            <w:proofErr w:type="gramEnd"/>
          </w:p>
          <w:p w:rsidR="001B1CC2" w:rsidRPr="0005729B" w:rsidRDefault="001B1CC2" w:rsidP="004000F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№ 44-ФЗ).</w:t>
            </w:r>
            <w:proofErr w:type="gramEnd"/>
          </w:p>
          <w:p w:rsidR="001B1CC2" w:rsidRPr="0005729B" w:rsidRDefault="001B1CC2" w:rsidP="004000F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CC2" w:rsidRPr="0005729B" w:rsidRDefault="001B1CC2" w:rsidP="0005729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1" w:type="dxa"/>
            <w:shd w:val="clear" w:color="auto" w:fill="auto"/>
          </w:tcPr>
          <w:p w:rsidR="001B1CC2" w:rsidRPr="0005729B" w:rsidRDefault="001B1CC2" w:rsidP="004000F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  <w:p w:rsidR="001B1CC2" w:rsidRPr="0005729B" w:rsidRDefault="001B1CC2" w:rsidP="004000F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CC2" w:rsidRPr="0005729B" w:rsidRDefault="001B1CC2" w:rsidP="000572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B1CC2" w:rsidRPr="0005729B" w:rsidRDefault="001B1CC2" w:rsidP="001B1CC2">
      <w:pPr>
        <w:outlineLvl w:val="2"/>
        <w:rPr>
          <w:rFonts w:ascii="Times New Roman" w:hAnsi="Times New Roman" w:cs="Times New Roman"/>
          <w:b/>
          <w:bCs/>
          <w:sz w:val="18"/>
          <w:szCs w:val="18"/>
        </w:rPr>
      </w:pPr>
    </w:p>
    <w:p w:rsidR="001778F0" w:rsidRPr="0005729B" w:rsidRDefault="001778F0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2025" w:type="dxa"/>
        <w:tblLook w:val="04A0"/>
      </w:tblPr>
      <w:tblGrid>
        <w:gridCol w:w="3510"/>
        <w:gridCol w:w="851"/>
        <w:gridCol w:w="5670"/>
        <w:gridCol w:w="1994"/>
      </w:tblGrid>
      <w:tr w:rsidR="0005729B" w:rsidRPr="0005729B" w:rsidTr="004000FD">
        <w:trPr>
          <w:gridAfter w:val="3"/>
          <w:wAfter w:w="8515" w:type="dxa"/>
        </w:trPr>
        <w:tc>
          <w:tcPr>
            <w:tcW w:w="3510" w:type="dxa"/>
            <w:shd w:val="clear" w:color="auto" w:fill="auto"/>
          </w:tcPr>
          <w:p w:rsidR="0005729B" w:rsidRDefault="0005729B" w:rsidP="004000F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1BE1" w:rsidRDefault="00F61BE1" w:rsidP="004000F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1BE1" w:rsidRPr="0005729B" w:rsidRDefault="00F61BE1" w:rsidP="004000F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29B" w:rsidRPr="0005729B" w:rsidRDefault="0005729B" w:rsidP="004000F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Информация о процедуре закупки</w:t>
            </w:r>
          </w:p>
        </w:tc>
      </w:tr>
      <w:tr w:rsidR="0005729B" w:rsidRPr="0005729B" w:rsidTr="004000FD">
        <w:trPr>
          <w:gridAfter w:val="3"/>
          <w:wAfter w:w="8515" w:type="dxa"/>
        </w:trPr>
        <w:tc>
          <w:tcPr>
            <w:tcW w:w="3510" w:type="dxa"/>
            <w:shd w:val="clear" w:color="auto" w:fill="auto"/>
          </w:tcPr>
          <w:p w:rsidR="0005729B" w:rsidRPr="0005729B" w:rsidRDefault="0005729B" w:rsidP="004000F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729B" w:rsidRPr="0005729B" w:rsidTr="004000FD">
        <w:trPr>
          <w:gridAfter w:val="3"/>
          <w:wAfter w:w="8515" w:type="dxa"/>
        </w:trPr>
        <w:tc>
          <w:tcPr>
            <w:tcW w:w="3510" w:type="dxa"/>
            <w:shd w:val="clear" w:color="auto" w:fill="auto"/>
          </w:tcPr>
          <w:p w:rsidR="0005729B" w:rsidRPr="0005729B" w:rsidRDefault="0005729B" w:rsidP="004000F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Дата и время начала подачи заявок с момента размещения </w:t>
            </w:r>
          </w:p>
          <w:p w:rsidR="0005729B" w:rsidRPr="0005729B" w:rsidRDefault="0005729B" w:rsidP="004000F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Дата и время окончания подачи заявок </w:t>
            </w:r>
            <w:r w:rsidR="00DA27D7">
              <w:rPr>
                <w:rFonts w:ascii="Times New Roman" w:hAnsi="Times New Roman" w:cs="Times New Roman"/>
                <w:sz w:val="18"/>
                <w:szCs w:val="18"/>
              </w:rPr>
              <w:t xml:space="preserve"> 30.10.2020       09-00</w:t>
            </w: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05729B" w:rsidRPr="0005729B" w:rsidTr="004000FD">
        <w:trPr>
          <w:gridAfter w:val="3"/>
          <w:wAfter w:w="8515" w:type="dxa"/>
          <w:trHeight w:val="80"/>
        </w:trPr>
        <w:tc>
          <w:tcPr>
            <w:tcW w:w="3510" w:type="dxa"/>
            <w:shd w:val="clear" w:color="auto" w:fill="auto"/>
          </w:tcPr>
          <w:p w:rsidR="0005729B" w:rsidRPr="0005729B" w:rsidRDefault="0005729B" w:rsidP="004000F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29B" w:rsidRPr="0005729B" w:rsidTr="004000FD">
        <w:tc>
          <w:tcPr>
            <w:tcW w:w="4361" w:type="dxa"/>
            <w:gridSpan w:val="2"/>
            <w:shd w:val="clear" w:color="auto" w:fill="auto"/>
          </w:tcPr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Место подачи заявок</w:t>
            </w: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4" w:type="dxa"/>
            <w:gridSpan w:val="2"/>
            <w:shd w:val="clear" w:color="auto" w:fill="auto"/>
          </w:tcPr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торговая площадка – </w:t>
            </w:r>
            <w:hyperlink r:id="rId9" w:history="1">
              <w:r w:rsidRPr="000572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0572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0572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0572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0572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sberbank</w:t>
              </w:r>
              <w:proofErr w:type="spellEnd"/>
              <w:r w:rsidRPr="000572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0572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ast</w:t>
              </w:r>
              <w:proofErr w:type="spellEnd"/>
              <w:r w:rsidRPr="000572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0572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29B" w:rsidRPr="0005729B" w:rsidTr="004000FD">
        <w:trPr>
          <w:gridAfter w:val="1"/>
          <w:wAfter w:w="1994" w:type="dxa"/>
        </w:trPr>
        <w:tc>
          <w:tcPr>
            <w:tcW w:w="4361" w:type="dxa"/>
            <w:gridSpan w:val="2"/>
            <w:shd w:val="clear" w:color="auto" w:fill="auto"/>
          </w:tcPr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Порядок подачи заявок</w:t>
            </w: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 (</w:t>
            </w: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. 1 ст. 66 Федерального закона от 05.04.2013 года №44-ФЗ).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(С 1 января 2019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ЕИС (ч. 47 ст. 112 Федерального закона от 05 апреля 2013 года №44-ФЗ)).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Заявка на участие в электронном аукционе состоит из двух частей.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19 настоящей информационной карты аукциона в электронной форме (в соответствии с частями 3 и 5 статьи 66  Федерального закона от 05 апреля 2013 года). №44-ФЗ. Указанные электронные документы подаются одновременно.</w:t>
            </w:r>
          </w:p>
          <w:p w:rsidR="0005729B" w:rsidRPr="0005729B" w:rsidRDefault="0005729B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В случае установления недостоверности информации, </w:t>
            </w:r>
          </w:p>
          <w:p w:rsidR="0005729B" w:rsidRPr="0005729B" w:rsidRDefault="0005729B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содержащейся в документах, представленных участником электронного аукциона в соответствии с частями 3 и 5 настоящей статьи, аукционная комиссия обязана отстранить </w:t>
            </w:r>
          </w:p>
          <w:p w:rsidR="0005729B" w:rsidRPr="0005729B" w:rsidRDefault="0005729B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такого участника от участия в электронном аукционе на любом </w:t>
            </w:r>
          </w:p>
          <w:p w:rsidR="0005729B" w:rsidRPr="0005729B" w:rsidRDefault="0005729B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этапе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его проведения.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электронного аукциона вправе подать заявку </w:t>
            </w: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</w:t>
            </w:r>
          </w:p>
          <w:p w:rsidR="0005729B" w:rsidRPr="0005729B" w:rsidRDefault="0005729B" w:rsidP="00F61BE1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 Федерального закона от 05 апреля 2013 года. Указанные электронные документы подаются одновременно.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в форме электронного документа, направляемого участнику 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такого аукциона, </w:t>
            </w: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подавшему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указанную заявку, ее получение с указанием присвоенного ей идентификационного номера.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Участник электронного аукциона вправе подать только одну заявку на участие в таком аукционе.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одного часа с момента получения заявки на участие в электронном аукционе оператор электронной площадки возвращает </w:t>
            </w:r>
            <w:r w:rsidRPr="00057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эту заявку подавшему ее участнику такого аукциона в случае: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1) подачи данной заявки с нарушением требований, предусмотренных частью 6 статьи 24.1 Федерального закона 44-ФЗ; (Электронные документы участника закупки должны быть подписаны усиленной электронной подписью лица, имеющего право действовать от имени соответственно участника закупки)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2) подачи одним участником такого аукциона двух и более заявок на участие в нем при условии, что поданные ранее заявки этим участником не отозваны. В указанном случае 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этому участнику возвращаются все заявки на участие в таком аукционе;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3) получения данной заявки после даты или времени окончания срока подачи заявок на участие в таком аукционе;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4)  наличия в предусмотренном настоящим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при условии установления заказчиком требования, предусмотренного частью 1.1 статьи 31 Федерального закона 44-ФЗ.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Одновременно </w:t>
            </w: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с возвратом заявки на участие в электронном аукционе в соответствии с частью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20 статьи 44 Федерального 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закона 44-ФЗ, частью 11 настоящей статьи оператор электронной площадки обязан уведомить в форме электронного документа участника такого аукциона, подавшего данную заявку, об основаниях ее возврата с указанием положений настоящего Федерального закона, которые были нарушены. Возврат заявок на участие в таком аукционе оператором электронной площадки по иным основаниям не допускается.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датой окончания срока подачи заявок на участие в электронном аукционе, оператор электронной площадки направляет заказчику предусмотренную частью 3 настоящей статьи первую часть заявки на участие в таком аукционе.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</w:t>
            </w:r>
          </w:p>
          <w:p w:rsidR="0005729B" w:rsidRPr="0005729B" w:rsidRDefault="0005729B" w:rsidP="004000FD">
            <w:pPr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аукционе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, направив об этом уведомление оператору электронной площадки.</w:t>
            </w:r>
          </w:p>
          <w:p w:rsidR="0005729B" w:rsidRPr="0005729B" w:rsidRDefault="0005729B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электронной площадки обязан обеспечить </w:t>
            </w:r>
          </w:p>
          <w:p w:rsidR="0005729B" w:rsidRPr="0005729B" w:rsidRDefault="0005729B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конфиденциальность информации об участниках электронного аукциона, подавших заявки на участие в таком аукционе, и информации, содержащейся в первой и второй частях данной заявки и предусмотренной частями 3 - 5 статьи 66  Федерального закона от 05 апреля 2013 года, до размещения на электронной площадке протокола проведения такого аукциона. За нарушение указанного требования оператор </w:t>
            </w:r>
            <w:proofErr w:type="gramStart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электронной</w:t>
            </w:r>
            <w:proofErr w:type="gramEnd"/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729B" w:rsidRPr="0005729B" w:rsidRDefault="0005729B" w:rsidP="00400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площадки несет ответственность в соответствии с законодательством Российской Федерации.</w:t>
            </w:r>
          </w:p>
        </w:tc>
      </w:tr>
      <w:tr w:rsidR="0005729B" w:rsidRPr="0005729B" w:rsidTr="004000FD">
        <w:trPr>
          <w:gridAfter w:val="1"/>
          <w:wAfter w:w="1994" w:type="dxa"/>
        </w:trPr>
        <w:tc>
          <w:tcPr>
            <w:tcW w:w="4361" w:type="dxa"/>
            <w:gridSpan w:val="2"/>
            <w:shd w:val="clear" w:color="auto" w:fill="auto"/>
          </w:tcPr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05729B" w:rsidRPr="0005729B" w:rsidRDefault="0005729B" w:rsidP="004000FD">
            <w:pPr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29B" w:rsidRPr="0005729B" w:rsidTr="004000FD">
        <w:trPr>
          <w:gridAfter w:val="1"/>
          <w:wAfter w:w="1994" w:type="dxa"/>
        </w:trPr>
        <w:tc>
          <w:tcPr>
            <w:tcW w:w="4361" w:type="dxa"/>
            <w:gridSpan w:val="2"/>
            <w:shd w:val="clear" w:color="auto" w:fill="auto"/>
          </w:tcPr>
          <w:p w:rsidR="0005729B" w:rsidRPr="0005729B" w:rsidRDefault="0005729B" w:rsidP="0040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код закупки</w:t>
            </w: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код заказчика</w:t>
            </w: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План график</w:t>
            </w: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Вид расхода </w:t>
            </w: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прикрепленных документов</w:t>
            </w: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05729B" w:rsidRPr="00F61BE1" w:rsidRDefault="0005729B" w:rsidP="00F61BE1">
            <w:pPr>
              <w:tabs>
                <w:tab w:val="left" w:pos="1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tabs>
                <w:tab w:val="left" w:pos="1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203742500298474550100100860001712244</w:t>
            </w:r>
          </w:p>
          <w:p w:rsidR="0005729B" w:rsidRPr="0005729B" w:rsidRDefault="0005729B" w:rsidP="004000FD">
            <w:pPr>
              <w:tabs>
                <w:tab w:val="left" w:pos="1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203742575786574550100100110001712244</w:t>
            </w: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29B" w:rsidRPr="0005729B" w:rsidRDefault="0005729B" w:rsidP="004000F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37425002984745501001</w:t>
            </w:r>
          </w:p>
          <w:p w:rsidR="0005729B" w:rsidRPr="0005729B" w:rsidRDefault="0005729B" w:rsidP="004000F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37425757865745501001</w:t>
            </w: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0086</w:t>
            </w: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0011</w:t>
            </w: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05729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 xml:space="preserve">Аукционная документация </w:t>
            </w:r>
          </w:p>
          <w:p w:rsidR="0005729B" w:rsidRPr="0005729B" w:rsidRDefault="0005729B" w:rsidP="0005729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29B">
              <w:rPr>
                <w:rFonts w:ascii="Times New Roman" w:hAnsi="Times New Roman" w:cs="Times New Roman"/>
                <w:sz w:val="18"/>
                <w:szCs w:val="18"/>
              </w:rPr>
              <w:t>Техническое задание</w:t>
            </w: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729B" w:rsidRPr="0005729B" w:rsidRDefault="0005729B" w:rsidP="0005729B">
      <w:pPr>
        <w:outlineLvl w:val="2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horzAnchor="page" w:tblpX="5553" w:tblpY="1"/>
        <w:tblOverlap w:val="never"/>
        <w:tblW w:w="5686" w:type="dxa"/>
        <w:tblLook w:val="04A0"/>
      </w:tblPr>
      <w:tblGrid>
        <w:gridCol w:w="5686"/>
      </w:tblGrid>
      <w:tr w:rsidR="0005729B" w:rsidRPr="0005729B" w:rsidTr="004000FD">
        <w:trPr>
          <w:trHeight w:val="450"/>
        </w:trPr>
        <w:tc>
          <w:tcPr>
            <w:tcW w:w="5686" w:type="dxa"/>
            <w:shd w:val="clear" w:color="auto" w:fill="auto"/>
          </w:tcPr>
          <w:p w:rsidR="0005729B" w:rsidRPr="0005729B" w:rsidRDefault="0005729B" w:rsidP="0040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29B" w:rsidRPr="0005729B" w:rsidRDefault="0005729B" w:rsidP="0040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5729B" w:rsidRPr="0005729B" w:rsidRDefault="0005729B" w:rsidP="0005729B">
      <w:pPr>
        <w:jc w:val="both"/>
        <w:rPr>
          <w:rFonts w:ascii="Times New Roman" w:hAnsi="Times New Roman" w:cs="Times New Roman"/>
          <w:sz w:val="18"/>
          <w:szCs w:val="18"/>
        </w:rPr>
        <w:sectPr w:rsidR="0005729B" w:rsidRPr="0005729B" w:rsidSect="0005729B">
          <w:pgSz w:w="11906" w:h="16838"/>
          <w:pgMar w:top="0" w:right="567" w:bottom="567" w:left="567" w:header="709" w:footer="709" w:gutter="0"/>
          <w:cols w:space="708"/>
          <w:docGrid w:linePitch="360"/>
        </w:sectPr>
      </w:pPr>
    </w:p>
    <w:p w:rsidR="001B1CC2" w:rsidRPr="0005729B" w:rsidRDefault="001B1CC2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1B1CC2" w:rsidRPr="0005729B" w:rsidSect="00B7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3076"/>
    <w:multiLevelType w:val="hybridMultilevel"/>
    <w:tmpl w:val="D56C33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1BE2"/>
    <w:multiLevelType w:val="hybridMultilevel"/>
    <w:tmpl w:val="4F84E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036DF9"/>
    <w:rsid w:val="00036DF9"/>
    <w:rsid w:val="0005729B"/>
    <w:rsid w:val="001778F0"/>
    <w:rsid w:val="001B1CC2"/>
    <w:rsid w:val="001C312E"/>
    <w:rsid w:val="00243457"/>
    <w:rsid w:val="002C6E4C"/>
    <w:rsid w:val="00547AE8"/>
    <w:rsid w:val="006A6963"/>
    <w:rsid w:val="006D5A4F"/>
    <w:rsid w:val="009B0C7E"/>
    <w:rsid w:val="00B718B6"/>
    <w:rsid w:val="00DA27D7"/>
    <w:rsid w:val="00DE02F3"/>
    <w:rsid w:val="00F01163"/>
    <w:rsid w:val="00F6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F9"/>
    <w:pPr>
      <w:ind w:left="720"/>
      <w:contextualSpacing/>
    </w:pPr>
  </w:style>
  <w:style w:type="character" w:styleId="a4">
    <w:name w:val="Hyperlink"/>
    <w:uiPriority w:val="99"/>
    <w:unhideWhenUsed/>
    <w:rsid w:val="00243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B90F0FC5314F10D69C2329CAB92FCC45BC1C5149C606653FF7461603B353A2DB19D05D76F0DD3EE1A78F0851BC04154EA0E228979A466Q7m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0B90F0FC5314F10D69C2329CAB92FCC45BC1C5149C606653FF7461603B353A2DB19D05D76E01D5E11A78F0851BC04154EA0E228979A466Q7m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0B90F0FC5314F10D69C2329CAB92FCC45BC1C5149C606653FF7461603B353A2DB19D05D76F0DD3EE1A78F0851BC04154EA0E228979A466Q7m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0B90F0FC5314F10D69C2329CAB92FCC45BC1C5149C606653FF7461603B353A2DB19D05D76E01D5E11A78F0851BC04154EA0E228979A466Q7m5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User</cp:lastModifiedBy>
  <cp:revision>3</cp:revision>
  <cp:lastPrinted>2020-10-21T11:00:00Z</cp:lastPrinted>
  <dcterms:created xsi:type="dcterms:W3CDTF">2020-10-21T09:53:00Z</dcterms:created>
  <dcterms:modified xsi:type="dcterms:W3CDTF">2020-10-22T10:47:00Z</dcterms:modified>
</cp:coreProperties>
</file>